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18A" w:rsidRDefault="001A4D8E" w:rsidP="000A5A12">
      <w:pPr>
        <w:spacing w:after="0" w:line="360" w:lineRule="auto"/>
        <w:jc w:val="center"/>
        <w:rPr>
          <w:rFonts w:ascii="inherit" w:hAnsi="inherit"/>
          <w:color w:val="000000" w:themeColor="text1"/>
          <w:sz w:val="20"/>
          <w:szCs w:val="20"/>
        </w:rPr>
      </w:pPr>
      <w:bookmarkStart w:id="0" w:name="_Toc535848948"/>
      <w:r>
        <w:rPr>
          <w:noProof/>
        </w:rPr>
        <w:drawing>
          <wp:anchor distT="0" distB="0" distL="114300" distR="114300" simplePos="0" relativeHeight="251666432" behindDoc="0" locked="0" layoutInCell="1" allowOverlap="1" wp14:anchorId="155BE68F">
            <wp:simplePos x="0" y="0"/>
            <wp:positionH relativeFrom="margin">
              <wp:align>right</wp:align>
            </wp:positionH>
            <wp:positionV relativeFrom="margin">
              <wp:posOffset>2540</wp:posOffset>
            </wp:positionV>
            <wp:extent cx="2343150" cy="1562100"/>
            <wp:effectExtent l="0" t="0" r="0" b="0"/>
            <wp:wrapSquare wrapText="bothSides"/>
            <wp:docPr id="2" name="obrázek 2" descr="http://www.morettispa.com/doc/logo-ky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rettispa.com/doc/logo-kya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0CAB" w:rsidRDefault="00650CAB" w:rsidP="001A4D8E">
      <w:pPr>
        <w:spacing w:after="1320"/>
        <w:jc w:val="center"/>
        <w:rPr>
          <w:noProof/>
        </w:rPr>
      </w:pPr>
    </w:p>
    <w:p w:rsidR="001A4D8E" w:rsidRPr="001A4D8E" w:rsidRDefault="001A4D8E" w:rsidP="001A4D8E">
      <w:pPr>
        <w:spacing w:after="1320"/>
        <w:jc w:val="center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</w:pPr>
    </w:p>
    <w:p w:rsidR="00650CAB" w:rsidRDefault="001A4D8E" w:rsidP="001A4D8E">
      <w:pPr>
        <w:spacing w:after="600"/>
        <w:jc w:val="center"/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</w:pPr>
      <w:r>
        <w:rPr>
          <w:noProof/>
        </w:rPr>
        <w:drawing>
          <wp:inline distT="0" distB="0" distL="0" distR="0" wp14:anchorId="1BA4717A" wp14:editId="58EC71B6">
            <wp:extent cx="4010025" cy="4010025"/>
            <wp:effectExtent l="0" t="0" r="9525" b="9525"/>
            <wp:docPr id="1" name="obrázek 1" descr="SÃ¡Äek na led Ã 2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Ã¡Äek na led Ã 25 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AB" w:rsidRDefault="001A4D8E" w:rsidP="00650CAB">
      <w:pPr>
        <w:spacing w:after="1320"/>
        <w:jc w:val="center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</w:pPr>
      <w:r>
        <w:rPr>
          <w:rFonts w:ascii="inherit" w:eastAsia="Times New Roman" w:hAnsi="inherit" w:cs="Courier New"/>
          <w:color w:val="212121"/>
          <w:sz w:val="46"/>
          <w:szCs w:val="50"/>
          <w:lang w:eastAsia="cs-CZ"/>
        </w:rPr>
        <w:t>SÁČEK NA LED</w:t>
      </w:r>
      <w:r w:rsidR="00650CAB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br/>
      </w:r>
      <w:r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>ST190</w:t>
      </w:r>
    </w:p>
    <w:p w:rsidR="007C7455" w:rsidRPr="00B0450E" w:rsidRDefault="00650CAB" w:rsidP="00B0450E">
      <w:pPr>
        <w:spacing w:after="0" w:line="240" w:lineRule="auto"/>
        <w:jc w:val="center"/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</w:pPr>
      <w:r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t>Návod k obsluze</w:t>
      </w:r>
      <w:r w:rsidR="00B0450E">
        <w:rPr>
          <w:rFonts w:ascii="inherit" w:eastAsia="Times New Roman" w:hAnsi="inherit" w:cs="Courier New"/>
          <w:color w:val="212121"/>
          <w:sz w:val="50"/>
          <w:szCs w:val="50"/>
          <w:lang w:eastAsia="cs-CZ"/>
        </w:rPr>
        <w:br w:type="page"/>
      </w:r>
    </w:p>
    <w:p w:rsidR="007C7455" w:rsidRPr="007C7455" w:rsidRDefault="007C7455" w:rsidP="007C7455">
      <w:pPr>
        <w:rPr>
          <w:b/>
          <w:bCs/>
        </w:rPr>
        <w:sectPr w:rsidR="007C7455" w:rsidRPr="007C7455" w:rsidSect="007C7455">
          <w:footerReference w:type="default" r:id="rId10"/>
          <w:pgSz w:w="11906" w:h="16838" w:code="9"/>
          <w:pgMar w:top="851" w:right="851" w:bottom="851" w:left="851" w:header="709" w:footer="709" w:gutter="567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27210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D3C5C" w:rsidRDefault="003D3C5C">
          <w:pPr>
            <w:pStyle w:val="Nadpisobsahu"/>
          </w:pPr>
          <w:r>
            <w:t>Obsah</w:t>
          </w:r>
        </w:p>
        <w:p w:rsidR="00F2652D" w:rsidRDefault="003D3C5C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897459" w:history="1">
            <w:r w:rsidR="00F2652D" w:rsidRPr="001E2E59">
              <w:rPr>
                <w:rStyle w:val="Hypertextovodkaz"/>
                <w:noProof/>
              </w:rPr>
              <w:t>OZNAČENÍ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_Toc3897459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1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60" w:history="1">
            <w:r w:rsidR="00F2652D" w:rsidRPr="001E2E59">
              <w:rPr>
                <w:rStyle w:val="Hypertextovodkaz"/>
                <w:noProof/>
              </w:rPr>
              <w:t>ÚVOD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_Toc3897460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1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61" w:history="1">
            <w:r w:rsidR="00F2652D" w:rsidRPr="001E2E59">
              <w:rPr>
                <w:rStyle w:val="Hypertextovodkaz"/>
                <w:noProof/>
              </w:rPr>
              <w:t>ÚČEL POUŽITÍ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_Toc3897461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1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62" w:history="1">
            <w:r w:rsidR="00F2652D" w:rsidRPr="001E2E59">
              <w:rPr>
                <w:rStyle w:val="Hypertextovodkaz"/>
                <w:noProof/>
              </w:rPr>
              <w:t>PROHLÁŠENÍ O SHODĚ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_Toc3897462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1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63" w:history="1">
            <w:r w:rsidR="00F2652D" w:rsidRPr="001E2E59">
              <w:rPr>
                <w:rStyle w:val="Hypertextovodkaz"/>
                <w:noProof/>
              </w:rPr>
              <w:t>OBECNÁ VAROVÁNÍ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_Toc3897463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1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64" w:history="1">
            <w:r w:rsidR="00F2652D" w:rsidRPr="001E2E59">
              <w:rPr>
                <w:rStyle w:val="Hypertextovodkaz"/>
                <w:noProof/>
              </w:rPr>
              <w:t>POPIS ČÁSTÍ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_Toc3897464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65" w:history="1">
            <w:r w:rsidR="00F2652D" w:rsidRPr="001E2E59">
              <w:rPr>
                <w:rStyle w:val="Hypertextovodkaz"/>
                <w:noProof/>
              </w:rPr>
              <w:t>PŘED POUŽITÍM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_Toc3897465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66" w:history="1">
            <w:r w:rsidR="00F2652D" w:rsidRPr="001E2E59">
              <w:rPr>
                <w:rStyle w:val="Hypertextovodkaz"/>
                <w:noProof/>
              </w:rPr>
              <w:t>INSTRUKCE PRO POUŽITÍ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_Toc3897466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67" w:history="1">
            <w:r w:rsidR="00F2652D" w:rsidRPr="001E2E59">
              <w:rPr>
                <w:rStyle w:val="Hypertextovodkaz"/>
                <w:noProof/>
              </w:rPr>
              <w:t>POUŽITÍ: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_Toc3897467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68" w:history="1">
            <w:r w:rsidR="00F2652D" w:rsidRPr="001E2E59">
              <w:rPr>
                <w:rStyle w:val="Hypertextovodkaz"/>
                <w:noProof/>
              </w:rPr>
              <w:t>ÚDRŽBA A SKLADOVÁNÍ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_Toc3897468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2"/>
            <w:tabs>
              <w:tab w:val="right" w:leader="dot" w:pos="9627"/>
            </w:tabs>
            <w:rPr>
              <w:noProof/>
            </w:rPr>
          </w:pPr>
          <w:hyperlink w:anchor="_Toc3897469" w:history="1">
            <w:r w:rsidR="00F2652D" w:rsidRPr="001E2E59">
              <w:rPr>
                <w:rStyle w:val="Hypertextovodkaz"/>
                <w:noProof/>
              </w:rPr>
              <w:t>Údržba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_Toc3897469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2"/>
            <w:tabs>
              <w:tab w:val="right" w:leader="dot" w:pos="9627"/>
            </w:tabs>
            <w:rPr>
              <w:noProof/>
            </w:rPr>
          </w:pPr>
          <w:hyperlink w:anchor="_Toc3897470" w:history="1">
            <w:r w:rsidR="00F2652D" w:rsidRPr="001E2E59">
              <w:rPr>
                <w:rStyle w:val="Hypertextovodkaz"/>
                <w:noProof/>
              </w:rPr>
              <w:t>Skladování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_Toc3897470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71" w:history="1">
            <w:r w:rsidR="00F2652D" w:rsidRPr="001E2E59">
              <w:rPr>
                <w:rStyle w:val="Hypertextovodkaz"/>
                <w:noProof/>
              </w:rPr>
              <w:t>ČIŠTĚNÍ A DEZINFEKCE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_Toc3897471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2"/>
            <w:tabs>
              <w:tab w:val="right" w:leader="dot" w:pos="9627"/>
            </w:tabs>
            <w:rPr>
              <w:noProof/>
            </w:rPr>
          </w:pPr>
          <w:hyperlink w:anchor="_Toc3897472" w:history="1">
            <w:r w:rsidR="00F2652D" w:rsidRPr="001E2E59">
              <w:rPr>
                <w:rStyle w:val="Hypertextovodkaz"/>
                <w:noProof/>
              </w:rPr>
              <w:t>Čištění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_Toc3897472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2"/>
            <w:tabs>
              <w:tab w:val="right" w:leader="dot" w:pos="9627"/>
            </w:tabs>
            <w:rPr>
              <w:noProof/>
            </w:rPr>
          </w:pPr>
          <w:hyperlink w:anchor="_Toc3897473" w:history="1">
            <w:r w:rsidR="00F2652D" w:rsidRPr="001E2E59">
              <w:rPr>
                <w:rStyle w:val="Hypertextovodkaz"/>
                <w:noProof/>
              </w:rPr>
              <w:t>Dezinfekce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_Toc3897473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2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74" w:history="1">
            <w:r w:rsidR="00F2652D" w:rsidRPr="001E2E59">
              <w:rPr>
                <w:rStyle w:val="Hypertextovodkaz"/>
                <w:noProof/>
              </w:rPr>
              <w:t>PODMÍNKY LIKVIDACE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_Toc3897474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3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75" w:history="1">
            <w:r w:rsidR="00F2652D" w:rsidRPr="001E2E59">
              <w:rPr>
                <w:rStyle w:val="Hypertextovodkaz"/>
                <w:noProof/>
              </w:rPr>
              <w:t>TECHNICKÉ VLASTNOSTI: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_Toc3897475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3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76" w:history="1">
            <w:r w:rsidR="00F2652D" w:rsidRPr="001E2E59">
              <w:rPr>
                <w:rStyle w:val="Hypertextovodkaz"/>
                <w:noProof/>
              </w:rPr>
              <w:t>ZÁRUKA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_Toc3897476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3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F2652D" w:rsidRDefault="006F43A5">
          <w:pPr>
            <w:pStyle w:val="Obsah1"/>
            <w:tabs>
              <w:tab w:val="right" w:leader="dot" w:pos="9627"/>
            </w:tabs>
            <w:rPr>
              <w:rFonts w:eastAsiaTheme="minorEastAsia"/>
              <w:noProof/>
              <w:lang w:eastAsia="cs-CZ"/>
            </w:rPr>
          </w:pPr>
          <w:hyperlink w:anchor="_Toc3897477" w:history="1">
            <w:r w:rsidR="00F2652D" w:rsidRPr="001E2E59">
              <w:rPr>
                <w:rStyle w:val="Hypertextovodkaz"/>
                <w:noProof/>
              </w:rPr>
              <w:t>OSVOBOZUJÍCÍ KLAUZULE</w:t>
            </w:r>
            <w:r w:rsidR="00F2652D">
              <w:rPr>
                <w:noProof/>
                <w:webHidden/>
              </w:rPr>
              <w:tab/>
            </w:r>
            <w:r w:rsidR="00F2652D">
              <w:rPr>
                <w:noProof/>
                <w:webHidden/>
              </w:rPr>
              <w:fldChar w:fldCharType="begin"/>
            </w:r>
            <w:r w:rsidR="00F2652D">
              <w:rPr>
                <w:noProof/>
                <w:webHidden/>
              </w:rPr>
              <w:instrText xml:space="preserve"> PAGEREF _Toc3897477 \h </w:instrText>
            </w:r>
            <w:r w:rsidR="00F2652D">
              <w:rPr>
                <w:noProof/>
                <w:webHidden/>
              </w:rPr>
            </w:r>
            <w:r w:rsidR="00F2652D">
              <w:rPr>
                <w:noProof/>
                <w:webHidden/>
              </w:rPr>
              <w:fldChar w:fldCharType="separate"/>
            </w:r>
            <w:r w:rsidR="00F2652D">
              <w:rPr>
                <w:noProof/>
                <w:webHidden/>
              </w:rPr>
              <w:t>3</w:t>
            </w:r>
            <w:r w:rsidR="00F2652D">
              <w:rPr>
                <w:noProof/>
                <w:webHidden/>
              </w:rPr>
              <w:fldChar w:fldCharType="end"/>
            </w:r>
          </w:hyperlink>
        </w:p>
        <w:p w:rsidR="003D3C5C" w:rsidRPr="00B858D8" w:rsidRDefault="003D3C5C" w:rsidP="003D3C5C">
          <w:pPr>
            <w:sectPr w:rsidR="003D3C5C" w:rsidRPr="00B858D8" w:rsidSect="003D3C5C">
              <w:pgSz w:w="11906" w:h="16838" w:code="9"/>
              <w:pgMar w:top="851" w:right="851" w:bottom="851" w:left="851" w:header="709" w:footer="709" w:gutter="567"/>
              <w:pgNumType w:start="1"/>
              <w:cols w:space="708"/>
              <w:titlePg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:rsidR="000A5A12" w:rsidRPr="00650CAB" w:rsidRDefault="000A5A12" w:rsidP="00B858D8">
      <w:pPr>
        <w:spacing w:after="0" w:line="240" w:lineRule="auto"/>
        <w:jc w:val="center"/>
        <w:rPr>
          <w:rFonts w:ascii="inherit" w:hAnsi="inherit"/>
          <w:color w:val="000000" w:themeColor="text1"/>
          <w:sz w:val="16"/>
          <w:szCs w:val="16"/>
        </w:rPr>
      </w:pPr>
      <w:r w:rsidRPr="00650CAB">
        <w:rPr>
          <w:rFonts w:ascii="inherit" w:hAnsi="inherit"/>
          <w:color w:val="000000" w:themeColor="text1"/>
          <w:sz w:val="16"/>
          <w:szCs w:val="16"/>
        </w:rPr>
        <w:lastRenderedPageBreak/>
        <w:t>Zdravotnický prostředek třídy I</w:t>
      </w:r>
    </w:p>
    <w:p w:rsidR="000A5A12" w:rsidRPr="00650CAB" w:rsidRDefault="000A5A12" w:rsidP="004C30EF">
      <w:pPr>
        <w:spacing w:after="240" w:line="240" w:lineRule="auto"/>
        <w:jc w:val="center"/>
        <w:rPr>
          <w:rFonts w:ascii="inherit" w:hAnsi="inherit"/>
          <w:color w:val="000000" w:themeColor="text1"/>
          <w:sz w:val="16"/>
          <w:szCs w:val="16"/>
        </w:rPr>
      </w:pPr>
      <w:r w:rsidRPr="00650CAB">
        <w:rPr>
          <w:rFonts w:ascii="inherit" w:hAnsi="inherit"/>
          <w:color w:val="000000" w:themeColor="text1"/>
          <w:sz w:val="16"/>
          <w:szCs w:val="16"/>
        </w:rPr>
        <w:t xml:space="preserve">D. </w:t>
      </w:r>
      <w:proofErr w:type="spellStart"/>
      <w:r w:rsidRPr="00650CAB">
        <w:rPr>
          <w:rFonts w:ascii="inherit" w:hAnsi="inherit"/>
          <w:color w:val="000000" w:themeColor="text1"/>
          <w:sz w:val="16"/>
          <w:szCs w:val="16"/>
        </w:rPr>
        <w:t>Lgs</w:t>
      </w:r>
      <w:proofErr w:type="spellEnd"/>
      <w:r w:rsidRPr="00650CAB">
        <w:rPr>
          <w:rFonts w:ascii="inherit" w:hAnsi="inherit"/>
          <w:color w:val="000000" w:themeColor="text1"/>
          <w:sz w:val="16"/>
          <w:szCs w:val="16"/>
        </w:rPr>
        <w:t xml:space="preserve"> 24/02/97 n.46 podle prováděcí směrnice 93/42 EHS a následných změn</w:t>
      </w:r>
    </w:p>
    <w:p w:rsidR="000A5A12" w:rsidRPr="00650CAB" w:rsidRDefault="006420EA" w:rsidP="004C30EF">
      <w:pPr>
        <w:pStyle w:val="Nadpis1"/>
        <w:spacing w:before="0" w:line="360" w:lineRule="auto"/>
        <w:jc w:val="both"/>
      </w:pPr>
      <w:bookmarkStart w:id="1" w:name="_Toc2329348"/>
      <w:bookmarkStart w:id="2" w:name="_Toc3897459"/>
      <w:r>
        <w:t>OZNAČENÍ</w:t>
      </w:r>
      <w:bookmarkEnd w:id="1"/>
      <w:bookmarkEnd w:id="2"/>
    </w:p>
    <w:p w:rsidR="000A5A12" w:rsidRPr="000A5A12" w:rsidRDefault="008E52EF" w:rsidP="00F2652D">
      <w:pPr>
        <w:spacing w:after="12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</w:rPr>
        <w:t>LT190 Sáček na led</w:t>
      </w:r>
    </w:p>
    <w:p w:rsidR="0061399B" w:rsidRPr="000A5A12" w:rsidRDefault="006420EA" w:rsidP="00F2652D">
      <w:pPr>
        <w:pStyle w:val="Nadpis1"/>
        <w:spacing w:before="0" w:line="360" w:lineRule="auto"/>
        <w:jc w:val="both"/>
      </w:pPr>
      <w:bookmarkStart w:id="3" w:name="_Toc2329349"/>
      <w:bookmarkStart w:id="4" w:name="_Toc3897460"/>
      <w:r>
        <w:t>ÚVOD</w:t>
      </w:r>
      <w:bookmarkEnd w:id="3"/>
      <w:bookmarkEnd w:id="4"/>
    </w:p>
    <w:p w:rsidR="0061399B" w:rsidRDefault="0061399B" w:rsidP="00F92BFA">
      <w:pPr>
        <w:spacing w:after="12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 w:rsidRPr="000A5A12">
        <w:rPr>
          <w:rFonts w:ascii="inherit" w:hAnsi="inherit"/>
          <w:color w:val="000000" w:themeColor="text1"/>
          <w:sz w:val="20"/>
          <w:szCs w:val="20"/>
        </w:rPr>
        <w:t xml:space="preserve">Děkujeme za zakoupení </w:t>
      </w:r>
      <w:r w:rsidR="007A5D5E">
        <w:rPr>
          <w:rFonts w:ascii="inherit" w:hAnsi="inherit"/>
          <w:color w:val="000000" w:themeColor="text1"/>
          <w:sz w:val="20"/>
          <w:szCs w:val="20"/>
        </w:rPr>
        <w:t>s</w:t>
      </w:r>
      <w:r w:rsidR="001A4D8E">
        <w:rPr>
          <w:rFonts w:ascii="inherit" w:hAnsi="inherit"/>
          <w:color w:val="000000" w:themeColor="text1"/>
          <w:sz w:val="20"/>
          <w:szCs w:val="20"/>
        </w:rPr>
        <w:t xml:space="preserve">áčku na led KYARA. </w:t>
      </w:r>
      <w:r w:rsidRPr="000A5A12">
        <w:rPr>
          <w:rFonts w:ascii="inherit" w:hAnsi="inherit"/>
          <w:color w:val="000000" w:themeColor="text1"/>
          <w:sz w:val="20"/>
          <w:szCs w:val="20"/>
        </w:rPr>
        <w:t>Tento návod vám poskytuje rady k správnému použití a</w:t>
      </w:r>
      <w:r w:rsidR="00C33B38">
        <w:rPr>
          <w:rFonts w:ascii="inherit" w:hAnsi="inherit" w:hint="eastAsia"/>
          <w:color w:val="000000" w:themeColor="text1"/>
          <w:sz w:val="20"/>
          <w:szCs w:val="20"/>
        </w:rPr>
        <w:t> </w:t>
      </w:r>
      <w:r w:rsidRPr="000A5A12">
        <w:rPr>
          <w:rFonts w:ascii="inherit" w:hAnsi="inherit"/>
          <w:color w:val="000000" w:themeColor="text1"/>
          <w:sz w:val="20"/>
          <w:szCs w:val="20"/>
        </w:rPr>
        <w:t>bezpečnostní pokyny. Doporučujeme pečlivě přečíst tento návod před prvním použitím. V případě pochybností se obraťte na svého prodejce.</w:t>
      </w:r>
    </w:p>
    <w:p w:rsidR="001A4D8E" w:rsidRDefault="001A4D8E" w:rsidP="00F92BFA">
      <w:pPr>
        <w:spacing w:after="12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 w:rsidRPr="000C0B97">
        <w:rPr>
          <w:rFonts w:ascii="inherit" w:hAnsi="inherit"/>
          <w:color w:val="000000" w:themeColor="text1"/>
          <w:sz w:val="20"/>
          <w:szCs w:val="20"/>
          <w:u w:val="single"/>
        </w:rPr>
        <w:t>POZNÁMKA:</w:t>
      </w:r>
      <w:r>
        <w:rPr>
          <w:rFonts w:ascii="inherit" w:hAnsi="inherit"/>
          <w:color w:val="000000" w:themeColor="text1"/>
          <w:sz w:val="20"/>
          <w:szCs w:val="20"/>
        </w:rPr>
        <w:t xml:space="preserve"> Zkontrolujte, zda u zboží nedošlo k poškození během přepravy. V případě poškození výrobek nepoužívejte a kontaktujte svého prodejce. </w:t>
      </w:r>
    </w:p>
    <w:p w:rsidR="008E52EF" w:rsidRDefault="008E52EF" w:rsidP="00815D1A">
      <w:pPr>
        <w:pStyle w:val="Nadpis1"/>
        <w:spacing w:line="360" w:lineRule="auto"/>
      </w:pPr>
      <w:bookmarkStart w:id="5" w:name="_Toc3897461"/>
      <w:r>
        <w:t>ÚČEL POUŽITÍ</w:t>
      </w:r>
      <w:bookmarkEnd w:id="5"/>
    </w:p>
    <w:p w:rsidR="008E52EF" w:rsidRDefault="008E52EF" w:rsidP="00F92BFA">
      <w:pPr>
        <w:spacing w:after="12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</w:rPr>
        <w:t>Ledový sáče</w:t>
      </w:r>
      <w:r w:rsidR="00DC3588">
        <w:rPr>
          <w:rFonts w:ascii="inherit" w:hAnsi="inherit"/>
          <w:color w:val="000000" w:themeColor="text1"/>
          <w:sz w:val="20"/>
          <w:szCs w:val="20"/>
        </w:rPr>
        <w:t>k slouží jako chladivý obklad při otoku, bolesti apod.</w:t>
      </w:r>
    </w:p>
    <w:p w:rsidR="00815D1A" w:rsidRPr="00815D1A" w:rsidRDefault="00815D1A" w:rsidP="00815D1A">
      <w:pPr>
        <w:spacing w:after="120" w:line="360" w:lineRule="auto"/>
        <w:jc w:val="both"/>
        <w:rPr>
          <w:rFonts w:ascii="inherit" w:hAnsi="inherit"/>
          <w:sz w:val="20"/>
          <w:szCs w:val="20"/>
          <w:u w:val="single"/>
        </w:rPr>
      </w:pPr>
      <w:r w:rsidRPr="00815D1A">
        <w:rPr>
          <w:rFonts w:ascii="inherit" w:hAnsi="inherit"/>
          <w:sz w:val="20"/>
          <w:szCs w:val="20"/>
          <w:u w:val="single"/>
        </w:rPr>
        <w:t>UPOZORNĚNÍ:</w:t>
      </w:r>
    </w:p>
    <w:p w:rsidR="00815D1A" w:rsidRPr="00F92BFA" w:rsidRDefault="00815D1A" w:rsidP="00815D1A">
      <w:pPr>
        <w:pStyle w:val="Odstavecseseznamem"/>
        <w:numPr>
          <w:ilvl w:val="0"/>
          <w:numId w:val="5"/>
        </w:numPr>
        <w:spacing w:after="120" w:line="360" w:lineRule="auto"/>
        <w:ind w:left="426"/>
        <w:jc w:val="both"/>
        <w:rPr>
          <w:rFonts w:ascii="inherit" w:hAnsi="inherit"/>
          <w:sz w:val="20"/>
          <w:szCs w:val="20"/>
        </w:rPr>
      </w:pPr>
      <w:r w:rsidRPr="00F92BFA">
        <w:rPr>
          <w:rFonts w:ascii="inherit" w:hAnsi="inherit"/>
          <w:sz w:val="20"/>
          <w:szCs w:val="20"/>
        </w:rPr>
        <w:t>Nepoužívejte výrobek pro jiné účely, než je uvedeno v příručce.</w:t>
      </w:r>
    </w:p>
    <w:p w:rsidR="00815D1A" w:rsidRPr="00F92BFA" w:rsidRDefault="00815D1A" w:rsidP="00815D1A">
      <w:pPr>
        <w:pStyle w:val="Odstavecseseznamem"/>
        <w:numPr>
          <w:ilvl w:val="0"/>
          <w:numId w:val="5"/>
        </w:numPr>
        <w:spacing w:after="120" w:line="360" w:lineRule="auto"/>
        <w:ind w:left="426"/>
        <w:jc w:val="both"/>
        <w:rPr>
          <w:rFonts w:ascii="inherit" w:hAnsi="inherit"/>
          <w:sz w:val="20"/>
          <w:szCs w:val="20"/>
        </w:rPr>
      </w:pPr>
      <w:r w:rsidRPr="00F92BFA">
        <w:rPr>
          <w:rFonts w:ascii="inherit" w:hAnsi="inherit"/>
          <w:sz w:val="20"/>
          <w:szCs w:val="20"/>
        </w:rPr>
        <w:t>Výrobci a dodavateli nevzniká žádná zodpovědnost za případné škody vzniklé v důsledku použití výrobku v rozporu s touto uživatelskou příručkou.</w:t>
      </w:r>
    </w:p>
    <w:p w:rsidR="00815D1A" w:rsidRPr="00424FDE" w:rsidRDefault="00815D1A" w:rsidP="00424FDE">
      <w:pPr>
        <w:pStyle w:val="Odstavecseseznamem"/>
        <w:numPr>
          <w:ilvl w:val="0"/>
          <w:numId w:val="5"/>
        </w:numPr>
        <w:spacing w:after="120" w:line="360" w:lineRule="auto"/>
        <w:jc w:val="both"/>
        <w:rPr>
          <w:rFonts w:ascii="inherit" w:hAnsi="inherit"/>
          <w:color w:val="000000" w:themeColor="text1"/>
          <w:sz w:val="20"/>
          <w:szCs w:val="20"/>
        </w:rPr>
      </w:pPr>
      <w:r w:rsidRPr="00424FDE">
        <w:rPr>
          <w:rFonts w:ascii="inherit" w:hAnsi="inherit"/>
          <w:sz w:val="20"/>
          <w:szCs w:val="20"/>
        </w:rPr>
        <w:t xml:space="preserve">Výrobce </w:t>
      </w:r>
      <w:bookmarkStart w:id="6" w:name="_GoBack"/>
      <w:bookmarkEnd w:id="6"/>
      <w:r w:rsidRPr="00424FDE">
        <w:rPr>
          <w:rFonts w:ascii="inherit" w:hAnsi="inherit"/>
          <w:sz w:val="20"/>
          <w:szCs w:val="20"/>
        </w:rPr>
        <w:t>si vyhrazuje právo na změnu a úpravy výrobku za účelem jeho zlepšení bez předchozího upozornění</w:t>
      </w:r>
    </w:p>
    <w:p w:rsidR="0061399B" w:rsidRPr="000A5A12" w:rsidRDefault="0061399B" w:rsidP="004C30EF">
      <w:pPr>
        <w:pStyle w:val="Nadpis1"/>
        <w:spacing w:before="0" w:line="360" w:lineRule="auto"/>
        <w:jc w:val="both"/>
      </w:pPr>
      <w:bookmarkStart w:id="7" w:name="_Toc2329350"/>
      <w:bookmarkStart w:id="8" w:name="_Toc3897462"/>
      <w:r w:rsidRPr="000A5A12">
        <w:t>P</w:t>
      </w:r>
      <w:bookmarkEnd w:id="0"/>
      <w:r w:rsidR="00F92BFA">
        <w:t>ROHLÁŠENÍ O SHODĚ</w:t>
      </w:r>
      <w:bookmarkEnd w:id="7"/>
      <w:bookmarkEnd w:id="8"/>
    </w:p>
    <w:p w:rsidR="0061399B" w:rsidRPr="000A5A12" w:rsidRDefault="0061399B" w:rsidP="00F92B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Výrobce prohlašuje na vlastní odpovědnost, že výrobek jím vyráběný a prodávaný je v souladu s evropskou směrnicí o</w:t>
      </w:r>
      <w:r w:rsidRPr="000A5A12">
        <w:rPr>
          <w:rFonts w:ascii="inherit" w:eastAsia="Times New Roman" w:hAnsi="inherit" w:cs="Courier New" w:hint="eastAsia"/>
          <w:color w:val="000000" w:themeColor="text1"/>
          <w:sz w:val="20"/>
          <w:szCs w:val="20"/>
          <w:lang w:eastAsia="cs-CZ"/>
        </w:rPr>
        <w:t> 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zdravotnických prostředcích (93/42/EEC). Výrobce zaručuje na vlastní odpovědnost následující:</w:t>
      </w:r>
    </w:p>
    <w:p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Zařízení, která jsou předmětem jednání, splňují základní požadavky požadované směrnicí 93/42/ EHS, jak je stanoveno v příloze VII uvedené směrnice.</w:t>
      </w:r>
    </w:p>
    <w:p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Diskutovaná zařízení NEJSOU</w:t>
      </w:r>
      <w:r w:rsidR="004176DD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 xml:space="preserve"> </w:t>
      </w: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MĚŘÍCÍ NÁSTROJE</w:t>
      </w:r>
    </w:p>
    <w:p w:rsidR="0061399B" w:rsidRPr="000A5A12" w:rsidRDefault="00282E3F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282E3F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Diskutovaná zařízení NEJSOU URČENA PRO KLINICKÁ VYŠETŘENÍ</w:t>
      </w:r>
    </w:p>
    <w:p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Diskutovaná zařízení jsou dodávána v NESTERILNÍM BALENÍ.</w:t>
      </w:r>
    </w:p>
    <w:p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Diskutovaná zařízení patří do třídy I°.</w:t>
      </w:r>
    </w:p>
    <w:p w:rsidR="0061399B" w:rsidRPr="000A5A12" w:rsidRDefault="0061399B" w:rsidP="00F92BF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NEPOUŽÍVEJTE/NEVYSTAVUJTE diskutovaná zařízení pro jiné účely, než je výslovně uvedeno výrobcem</w:t>
      </w:r>
    </w:p>
    <w:p w:rsidR="000A5A12" w:rsidRPr="0051567C" w:rsidRDefault="0061399B" w:rsidP="00815D1A">
      <w:pPr>
        <w:pStyle w:val="Odstavecseseznamem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426" w:hanging="357"/>
        <w:jc w:val="both"/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</w:pPr>
      <w:r w:rsidRPr="000A5A12">
        <w:rPr>
          <w:rFonts w:ascii="inherit" w:eastAsia="Times New Roman" w:hAnsi="inherit" w:cs="Courier New"/>
          <w:color w:val="000000" w:themeColor="text1"/>
          <w:sz w:val="20"/>
          <w:szCs w:val="20"/>
          <w:lang w:eastAsia="cs-CZ"/>
        </w:rPr>
        <w:t>Výrobce udržuje a poskytuje orgánům technickou dokumentaci prokazující splnění evropské směrnice o zdravotnických prostředcích (93/42/EEC.)</w:t>
      </w:r>
    </w:p>
    <w:p w:rsidR="000A5A12" w:rsidRDefault="006420EA" w:rsidP="004C30EF">
      <w:pPr>
        <w:pStyle w:val="Nadpis1"/>
        <w:spacing w:before="0" w:line="360" w:lineRule="auto"/>
        <w:jc w:val="both"/>
      </w:pPr>
      <w:bookmarkStart w:id="9" w:name="_Toc2329352"/>
      <w:bookmarkStart w:id="10" w:name="_Toc3897463"/>
      <w:r>
        <w:t>OBECNÁ VAROVÁNÍ</w:t>
      </w:r>
      <w:bookmarkEnd w:id="9"/>
      <w:bookmarkEnd w:id="10"/>
    </w:p>
    <w:p w:rsidR="00260E4C" w:rsidRDefault="00815D1A" w:rsidP="00C7384A">
      <w:pPr>
        <w:pStyle w:val="Odstavecseseznamem"/>
        <w:numPr>
          <w:ilvl w:val="0"/>
          <w:numId w:val="8"/>
        </w:numPr>
        <w:spacing w:after="120" w:line="360" w:lineRule="auto"/>
        <w:ind w:left="426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Informace o jejím používání naleznete v této příručce.</w:t>
      </w:r>
    </w:p>
    <w:p w:rsidR="00815D1A" w:rsidRPr="00C7384A" w:rsidRDefault="00815D1A" w:rsidP="00C7384A">
      <w:pPr>
        <w:pStyle w:val="Odstavecseseznamem"/>
        <w:numPr>
          <w:ilvl w:val="0"/>
          <w:numId w:val="8"/>
        </w:numPr>
        <w:spacing w:after="120" w:line="360" w:lineRule="auto"/>
        <w:ind w:left="426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Zkontrolujte kompletnost balení. </w:t>
      </w:r>
    </w:p>
    <w:p w:rsidR="000A5A12" w:rsidRPr="00650CAB" w:rsidRDefault="00815D1A" w:rsidP="00C7384A">
      <w:pPr>
        <w:pStyle w:val="Odstavecseseznamem"/>
        <w:numPr>
          <w:ilvl w:val="0"/>
          <w:numId w:val="8"/>
        </w:numPr>
        <w:spacing w:after="120" w:line="360" w:lineRule="auto"/>
        <w:ind w:left="426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Balený v</w:t>
      </w:r>
      <w:r w:rsidR="00CC6CBC" w:rsidRPr="00650CAB">
        <w:rPr>
          <w:rFonts w:ascii="inherit" w:hAnsi="inherit"/>
          <w:sz w:val="20"/>
          <w:szCs w:val="20"/>
        </w:rPr>
        <w:t>ýrobek uchovávejte mimo zdroj</w:t>
      </w:r>
      <w:r w:rsidR="004F1042">
        <w:rPr>
          <w:rFonts w:ascii="inherit" w:hAnsi="inherit"/>
          <w:sz w:val="20"/>
          <w:szCs w:val="20"/>
        </w:rPr>
        <w:t>e</w:t>
      </w:r>
      <w:r w:rsidR="00CC6CBC" w:rsidRPr="00650CAB">
        <w:rPr>
          <w:rFonts w:ascii="inherit" w:hAnsi="inherit"/>
          <w:sz w:val="20"/>
          <w:szCs w:val="20"/>
        </w:rPr>
        <w:t xml:space="preserve"> tepla.</w:t>
      </w:r>
    </w:p>
    <w:p w:rsidR="00CC6CBC" w:rsidRPr="00650CAB" w:rsidRDefault="00CC6CBC" w:rsidP="00C7384A">
      <w:pPr>
        <w:pStyle w:val="Odstavecseseznamem"/>
        <w:numPr>
          <w:ilvl w:val="0"/>
          <w:numId w:val="8"/>
        </w:numPr>
        <w:spacing w:after="120" w:line="360" w:lineRule="auto"/>
        <w:ind w:left="426"/>
        <w:jc w:val="both"/>
        <w:rPr>
          <w:rFonts w:ascii="inherit" w:hAnsi="inherit"/>
          <w:sz w:val="20"/>
          <w:szCs w:val="20"/>
        </w:rPr>
      </w:pPr>
      <w:r w:rsidRPr="00650CAB">
        <w:rPr>
          <w:rFonts w:ascii="inherit" w:hAnsi="inherit"/>
          <w:sz w:val="20"/>
          <w:szCs w:val="20"/>
        </w:rPr>
        <w:t>Doba použitelnosti výrobku je dána opotřebením</w:t>
      </w:r>
      <w:r w:rsidR="004F1042">
        <w:rPr>
          <w:rFonts w:ascii="inherit" w:hAnsi="inherit"/>
          <w:sz w:val="20"/>
          <w:szCs w:val="20"/>
        </w:rPr>
        <w:t xml:space="preserve"> jeho</w:t>
      </w:r>
      <w:r w:rsidRPr="00650CAB">
        <w:rPr>
          <w:rFonts w:ascii="inherit" w:hAnsi="inherit"/>
          <w:sz w:val="20"/>
          <w:szCs w:val="20"/>
        </w:rPr>
        <w:t xml:space="preserve"> součástí</w:t>
      </w:r>
      <w:r w:rsidR="00367828">
        <w:rPr>
          <w:rFonts w:ascii="inherit" w:hAnsi="inherit"/>
          <w:sz w:val="20"/>
          <w:szCs w:val="20"/>
        </w:rPr>
        <w:t xml:space="preserve">, které nemohou být opraveny nebo nahrazeny. </w:t>
      </w:r>
    </w:p>
    <w:p w:rsidR="00A05DD9" w:rsidRDefault="004B4969" w:rsidP="00C7384A">
      <w:pPr>
        <w:pStyle w:val="Odstavecseseznamem"/>
        <w:numPr>
          <w:ilvl w:val="0"/>
          <w:numId w:val="8"/>
        </w:numPr>
        <w:spacing w:after="120" w:line="360" w:lineRule="auto"/>
        <w:ind w:left="426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Dbejte zvýšené opatrnosti při přítomnosti dětí. </w:t>
      </w:r>
    </w:p>
    <w:p w:rsidR="004B4969" w:rsidRDefault="00917A8F" w:rsidP="0051567C">
      <w:pPr>
        <w:pStyle w:val="Nadpis1"/>
        <w:spacing w:line="360" w:lineRule="auto"/>
      </w:pPr>
      <w:bookmarkStart w:id="11" w:name="_Toc3897464"/>
      <w:r>
        <w:lastRenderedPageBreak/>
        <w:t>POPIS ČÁSTÍ</w:t>
      </w:r>
      <w:bookmarkEnd w:id="11"/>
    </w:p>
    <w:p w:rsidR="00917A8F" w:rsidRDefault="00917A8F" w:rsidP="00917A8F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Sáček z odolné tkaniny opatřený šroubovacím uzávěrem, pryžovým těsněním ve víčku. Vnitřní část PVC materiál zaručující dlouhodobou ochranu ledu. Průměr 25 cm.</w:t>
      </w:r>
    </w:p>
    <w:p w:rsidR="00917A8F" w:rsidRDefault="00917A8F" w:rsidP="00F2652D">
      <w:pPr>
        <w:pStyle w:val="Nadpis1"/>
        <w:spacing w:before="0" w:line="360" w:lineRule="auto"/>
      </w:pPr>
      <w:bookmarkStart w:id="12" w:name="_Toc3897465"/>
      <w:r>
        <w:t>PŘED POUŽITÍM</w:t>
      </w:r>
      <w:bookmarkEnd w:id="12"/>
    </w:p>
    <w:p w:rsidR="00917A8F" w:rsidRPr="00917A8F" w:rsidRDefault="0051567C" w:rsidP="00917A8F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Vždy zkontrolujte opotřebení částí výrobku, aby bylo zaručeno, že výrobek bude zcela bezpečný pro uživatele a</w:t>
      </w:r>
      <w:r w:rsidR="00D61EE5">
        <w:rPr>
          <w:rFonts w:ascii="inherit" w:hAnsi="inherit" w:hint="eastAsia"/>
          <w:sz w:val="20"/>
          <w:szCs w:val="20"/>
        </w:rPr>
        <w:t> </w:t>
      </w:r>
      <w:r>
        <w:rPr>
          <w:rFonts w:ascii="inherit" w:hAnsi="inherit"/>
          <w:sz w:val="20"/>
          <w:szCs w:val="20"/>
        </w:rPr>
        <w:t>jeho okolí.</w:t>
      </w:r>
    </w:p>
    <w:p w:rsidR="00A05DD9" w:rsidRDefault="0051567C" w:rsidP="004C30EF">
      <w:pPr>
        <w:pStyle w:val="Nadpis1"/>
        <w:spacing w:before="0" w:line="360" w:lineRule="auto"/>
        <w:jc w:val="both"/>
      </w:pPr>
      <w:bookmarkStart w:id="13" w:name="_Toc3897466"/>
      <w:r>
        <w:t>INSTRUKCE PRO POUŽITÍ</w:t>
      </w:r>
      <w:bookmarkEnd w:id="13"/>
    </w:p>
    <w:p w:rsidR="00BB417B" w:rsidRPr="000C7F20" w:rsidRDefault="0051567C" w:rsidP="000C7F2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0C7F20">
        <w:rPr>
          <w:rFonts w:ascii="inherit" w:hAnsi="inherit"/>
          <w:sz w:val="20"/>
          <w:szCs w:val="20"/>
        </w:rPr>
        <w:t>Nepoužívejte výrobek pro jiné účely, než je uvedeno v příručce.</w:t>
      </w:r>
    </w:p>
    <w:p w:rsidR="0051567C" w:rsidRPr="000C7F20" w:rsidRDefault="0051567C" w:rsidP="000C7F2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0C7F20">
        <w:rPr>
          <w:rFonts w:ascii="inherit" w:hAnsi="inherit"/>
          <w:sz w:val="20"/>
          <w:szCs w:val="20"/>
        </w:rPr>
        <w:t xml:space="preserve">Výrobce odmítá veškerou odpovědnost za jakékoli důsledky vyplývající z nesprávného použití tohoto výrobku. </w:t>
      </w:r>
    </w:p>
    <w:p w:rsidR="000C7F20" w:rsidRPr="000C7F20" w:rsidRDefault="0051567C" w:rsidP="000C7F2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0C7F20">
        <w:rPr>
          <w:rFonts w:ascii="inherit" w:hAnsi="inherit"/>
          <w:sz w:val="20"/>
          <w:szCs w:val="20"/>
        </w:rPr>
        <w:t>Po</w:t>
      </w:r>
      <w:r w:rsidR="000C7F20">
        <w:rPr>
          <w:rFonts w:ascii="inherit" w:hAnsi="inherit"/>
          <w:sz w:val="20"/>
          <w:szCs w:val="20"/>
        </w:rPr>
        <w:t>kládejte</w:t>
      </w:r>
      <w:r w:rsidRPr="000C7F20">
        <w:rPr>
          <w:rFonts w:ascii="inherit" w:hAnsi="inherit"/>
          <w:sz w:val="20"/>
          <w:szCs w:val="20"/>
        </w:rPr>
        <w:t xml:space="preserve"> pouze na nepoškozenou kůži</w:t>
      </w:r>
      <w:r w:rsidR="000C7F20">
        <w:rPr>
          <w:rFonts w:ascii="inherit" w:hAnsi="inherit"/>
          <w:sz w:val="20"/>
          <w:szCs w:val="20"/>
        </w:rPr>
        <w:t xml:space="preserve">, nikoliv </w:t>
      </w:r>
      <w:r w:rsidR="000C7F20" w:rsidRPr="000C7F20">
        <w:rPr>
          <w:rFonts w:ascii="inherit" w:hAnsi="inherit"/>
          <w:sz w:val="20"/>
          <w:szCs w:val="20"/>
        </w:rPr>
        <w:t>na poraněnou kůži nebo otevřené rány. Vždy použijte ochranný hadřík mezi kůží a sáčkem.</w:t>
      </w:r>
    </w:p>
    <w:p w:rsidR="000C7F20" w:rsidRPr="000C7F20" w:rsidRDefault="00680706" w:rsidP="000C7F2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Sáček vyplňte ledem či ledovou vodou.</w:t>
      </w:r>
    </w:p>
    <w:p w:rsidR="000C7F20" w:rsidRPr="000C7F20" w:rsidRDefault="000C7F20" w:rsidP="000C7F20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inherit" w:hAnsi="inherit"/>
          <w:sz w:val="20"/>
          <w:szCs w:val="20"/>
        </w:rPr>
      </w:pPr>
      <w:r w:rsidRPr="000C7F20">
        <w:rPr>
          <w:rFonts w:ascii="inherit" w:hAnsi="inherit"/>
          <w:sz w:val="20"/>
          <w:szCs w:val="20"/>
        </w:rPr>
        <w:t xml:space="preserve">Dbejte zvýšené opatrnosti při přítomnosti dětí, aby se zabránilo náhodnému otevření. </w:t>
      </w:r>
    </w:p>
    <w:p w:rsidR="0051567C" w:rsidRDefault="00BA03C5" w:rsidP="00BA26BC">
      <w:pPr>
        <w:pStyle w:val="Nadpis1"/>
        <w:spacing w:line="360" w:lineRule="auto"/>
      </w:pPr>
      <w:bookmarkStart w:id="14" w:name="_Toc3897467"/>
      <w:r>
        <w:t>POUŽITÍ:</w:t>
      </w:r>
      <w:bookmarkEnd w:id="14"/>
    </w:p>
    <w:p w:rsidR="00BA03C5" w:rsidRDefault="00BA03C5" w:rsidP="00BA26BC">
      <w:pPr>
        <w:spacing w:after="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 xml:space="preserve">Zkontrolujte, zda výrobek nejeví známky poškození, roztržení nebo opotřebení, které by mohly narušit přilnavost kapaliny. Pokud je to možné, umyjte sáček. Sáček naplňte ledem. Zašroubujte sáček uzávěrem a dbejte na to, abyste vytlačili přebytečný vzduch. Zkontrolujte správné utažení. </w:t>
      </w:r>
      <w:r w:rsidR="00335138">
        <w:rPr>
          <w:rFonts w:ascii="inherit" w:hAnsi="inherit"/>
          <w:sz w:val="20"/>
          <w:szCs w:val="20"/>
        </w:rPr>
        <w:t>S</w:t>
      </w:r>
      <w:r>
        <w:rPr>
          <w:rFonts w:ascii="inherit" w:hAnsi="inherit"/>
          <w:sz w:val="20"/>
          <w:szCs w:val="20"/>
        </w:rPr>
        <w:t>áček</w:t>
      </w:r>
      <w:r w:rsidR="00335138">
        <w:rPr>
          <w:rFonts w:ascii="inherit" w:hAnsi="inherit"/>
          <w:sz w:val="20"/>
          <w:szCs w:val="20"/>
        </w:rPr>
        <w:t xml:space="preserve"> zabalte do ručníku a přiložte</w:t>
      </w:r>
      <w:r>
        <w:rPr>
          <w:rFonts w:ascii="inherit" w:hAnsi="inherit"/>
          <w:sz w:val="20"/>
          <w:szCs w:val="20"/>
        </w:rPr>
        <w:t xml:space="preserve"> na postižené místo</w:t>
      </w:r>
      <w:r w:rsidR="00BA26BC">
        <w:rPr>
          <w:rFonts w:ascii="inherit" w:hAnsi="inherit"/>
          <w:sz w:val="20"/>
          <w:szCs w:val="20"/>
        </w:rPr>
        <w:t>.</w:t>
      </w:r>
    </w:p>
    <w:p w:rsidR="00BA26BC" w:rsidRDefault="00BA26BC" w:rsidP="003D48F3">
      <w:pPr>
        <w:pStyle w:val="Nadpis1"/>
        <w:spacing w:line="360" w:lineRule="auto"/>
      </w:pPr>
      <w:bookmarkStart w:id="15" w:name="_Toc3897468"/>
      <w:r>
        <w:t>ÚDRŽBA A SKLADOVÁNÍ</w:t>
      </w:r>
      <w:bookmarkEnd w:id="15"/>
    </w:p>
    <w:p w:rsidR="003D48F3" w:rsidRPr="003D48F3" w:rsidRDefault="003D48F3" w:rsidP="003D48F3">
      <w:pPr>
        <w:pStyle w:val="Nadpis2"/>
      </w:pPr>
      <w:bookmarkStart w:id="16" w:name="_Toc3897469"/>
      <w:r w:rsidRPr="003D48F3">
        <w:t>Údržba</w:t>
      </w:r>
      <w:bookmarkEnd w:id="16"/>
    </w:p>
    <w:p w:rsidR="00BA26BC" w:rsidRDefault="00E12DD8" w:rsidP="00F2652D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Výrobky</w:t>
      </w:r>
      <w:r w:rsidR="00BA26BC">
        <w:rPr>
          <w:rFonts w:ascii="inherit" w:hAnsi="inherit"/>
          <w:sz w:val="20"/>
          <w:szCs w:val="20"/>
        </w:rPr>
        <w:t xml:space="preserve"> </w:t>
      </w:r>
      <w:proofErr w:type="spellStart"/>
      <w:r w:rsidR="00BA26BC">
        <w:rPr>
          <w:rFonts w:ascii="inherit" w:hAnsi="inherit"/>
          <w:sz w:val="20"/>
          <w:szCs w:val="20"/>
        </w:rPr>
        <w:t>Kyara</w:t>
      </w:r>
      <w:proofErr w:type="spellEnd"/>
      <w:r w:rsidR="00BA26BC">
        <w:rPr>
          <w:rFonts w:ascii="inherit" w:hAnsi="inherit"/>
          <w:sz w:val="20"/>
          <w:szCs w:val="20"/>
        </w:rPr>
        <w:t xml:space="preserve"> jsou při uvádění na trh pečlivě kontrolovány a opatřeny značkou CE. Pro bezpečnost uživatele se doporučuje, aby byl výrobek zkontrolován autorizovaným servisem jednou za dva roky. V případě opravy je třeba použít pouze originální náhradní díly a příslušenství. </w:t>
      </w:r>
    </w:p>
    <w:p w:rsidR="003D48F3" w:rsidRDefault="003D48F3" w:rsidP="003D48F3">
      <w:pPr>
        <w:pStyle w:val="Nadpis2"/>
      </w:pPr>
      <w:bookmarkStart w:id="17" w:name="_Toc3897470"/>
      <w:r>
        <w:t>Skladování</w:t>
      </w:r>
      <w:bookmarkEnd w:id="17"/>
    </w:p>
    <w:p w:rsidR="003D48F3" w:rsidRDefault="003D48F3" w:rsidP="00F2652D">
      <w:pPr>
        <w:spacing w:line="360" w:lineRule="auto"/>
        <w:jc w:val="both"/>
        <w:rPr>
          <w:rFonts w:ascii="inherit" w:hAnsi="inherit"/>
          <w:sz w:val="20"/>
        </w:rPr>
      </w:pPr>
      <w:r w:rsidRPr="003D48F3">
        <w:rPr>
          <w:rFonts w:ascii="inherit" w:hAnsi="inherit"/>
          <w:sz w:val="20"/>
          <w:highlight w:val="yellow"/>
        </w:rPr>
        <w:t xml:space="preserve">10.2 </w:t>
      </w:r>
      <w:proofErr w:type="spellStart"/>
      <w:r w:rsidRPr="003D48F3">
        <w:rPr>
          <w:rFonts w:ascii="inherit" w:hAnsi="inherit"/>
          <w:sz w:val="20"/>
          <w:highlight w:val="yellow"/>
        </w:rPr>
        <w:t>Storage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For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longer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storage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of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the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product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we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recommend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placing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the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bag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completely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dry </w:t>
      </w:r>
      <w:proofErr w:type="spellStart"/>
      <w:r w:rsidRPr="003D48F3">
        <w:rPr>
          <w:rFonts w:ascii="inherit" w:hAnsi="inherit"/>
          <w:sz w:val="20"/>
          <w:highlight w:val="yellow"/>
        </w:rPr>
        <w:t>away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from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light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and </w:t>
      </w:r>
      <w:proofErr w:type="spellStart"/>
      <w:r w:rsidRPr="003D48F3">
        <w:rPr>
          <w:rFonts w:ascii="inherit" w:hAnsi="inherit"/>
          <w:sz w:val="20"/>
          <w:highlight w:val="yellow"/>
        </w:rPr>
        <w:t>heat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sources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within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sprinkling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a bit </w:t>
      </w:r>
      <w:proofErr w:type="spellStart"/>
      <w:r w:rsidRPr="003D48F3">
        <w:rPr>
          <w:rFonts w:ascii="inherit" w:hAnsi="inherit"/>
          <w:sz w:val="20"/>
          <w:highlight w:val="yellow"/>
        </w:rPr>
        <w:t>talcum</w:t>
      </w:r>
      <w:proofErr w:type="spellEnd"/>
      <w:r w:rsidRPr="003D48F3">
        <w:rPr>
          <w:rFonts w:ascii="inherit" w:hAnsi="inherit"/>
          <w:sz w:val="20"/>
          <w:highlight w:val="yellow"/>
        </w:rPr>
        <w:t xml:space="preserve"> </w:t>
      </w:r>
      <w:proofErr w:type="spellStart"/>
      <w:r w:rsidRPr="003D48F3">
        <w:rPr>
          <w:rFonts w:ascii="inherit" w:hAnsi="inherit"/>
          <w:sz w:val="20"/>
          <w:highlight w:val="yellow"/>
        </w:rPr>
        <w:t>powder</w:t>
      </w:r>
      <w:proofErr w:type="spellEnd"/>
      <w:r w:rsidRPr="003D48F3">
        <w:rPr>
          <w:rFonts w:ascii="inherit" w:hAnsi="inherit"/>
          <w:sz w:val="20"/>
          <w:highlight w:val="yellow"/>
        </w:rPr>
        <w:t>.</w:t>
      </w:r>
    </w:p>
    <w:p w:rsidR="00332CC8" w:rsidRDefault="006420EA" w:rsidP="004C30EF">
      <w:pPr>
        <w:pStyle w:val="Nadpis1"/>
        <w:spacing w:line="360" w:lineRule="auto"/>
        <w:jc w:val="both"/>
      </w:pPr>
      <w:bookmarkStart w:id="18" w:name="_Toc2329358"/>
      <w:bookmarkStart w:id="19" w:name="_Toc3897471"/>
      <w:r>
        <w:t>ČIŠTĚNÍ A DEZINFEKCE</w:t>
      </w:r>
      <w:bookmarkEnd w:id="18"/>
      <w:bookmarkEnd w:id="19"/>
    </w:p>
    <w:p w:rsidR="00332CC8" w:rsidRPr="006420EA" w:rsidRDefault="00332CC8" w:rsidP="00F2652D">
      <w:pPr>
        <w:pStyle w:val="Nadpis2"/>
      </w:pPr>
      <w:bookmarkStart w:id="20" w:name="_Toc3897472"/>
      <w:r w:rsidRPr="006420EA">
        <w:t>Čištění</w:t>
      </w:r>
      <w:bookmarkEnd w:id="20"/>
      <w:r w:rsidRPr="006420EA">
        <w:t xml:space="preserve"> </w:t>
      </w:r>
    </w:p>
    <w:p w:rsidR="00F2652D" w:rsidRDefault="009E5442" w:rsidP="00F92BFA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Na čištění</w:t>
      </w:r>
      <w:r w:rsidR="003D48F3">
        <w:rPr>
          <w:rFonts w:ascii="inherit" w:hAnsi="inherit"/>
          <w:sz w:val="20"/>
          <w:szCs w:val="20"/>
        </w:rPr>
        <w:t xml:space="preserve"> vnitřní části</w:t>
      </w:r>
      <w:r>
        <w:rPr>
          <w:rFonts w:ascii="inherit" w:hAnsi="inherit"/>
          <w:sz w:val="20"/>
          <w:szCs w:val="20"/>
        </w:rPr>
        <w:t xml:space="preserve"> výrobku</w:t>
      </w:r>
      <w:r w:rsidR="003D48F3">
        <w:rPr>
          <w:rFonts w:ascii="inherit" w:hAnsi="inherit"/>
          <w:sz w:val="20"/>
          <w:szCs w:val="20"/>
        </w:rPr>
        <w:t xml:space="preserve"> použijte teplou vodu a neutrální čisticí prostředek</w:t>
      </w:r>
      <w:r w:rsidR="00CD78A4">
        <w:rPr>
          <w:rFonts w:ascii="inherit" w:hAnsi="inherit"/>
          <w:sz w:val="20"/>
          <w:szCs w:val="20"/>
        </w:rPr>
        <w:t xml:space="preserve">. </w:t>
      </w:r>
      <w:r w:rsidR="003D48F3">
        <w:rPr>
          <w:rFonts w:ascii="inherit" w:hAnsi="inherit"/>
          <w:sz w:val="20"/>
          <w:szCs w:val="20"/>
        </w:rPr>
        <w:t>Nechte volně uschnout. Nevystavujte přímému slun</w:t>
      </w:r>
      <w:r w:rsidR="00F2652D">
        <w:rPr>
          <w:rFonts w:ascii="inherit" w:hAnsi="inherit"/>
          <w:sz w:val="20"/>
          <w:szCs w:val="20"/>
        </w:rPr>
        <w:t xml:space="preserve">ci nebo zdrojům umělého tepla. </w:t>
      </w:r>
    </w:p>
    <w:p w:rsidR="00F2652D" w:rsidRDefault="00F2652D" w:rsidP="00F2652D">
      <w:pPr>
        <w:pStyle w:val="Nadpis2"/>
      </w:pPr>
      <w:bookmarkStart w:id="21" w:name="_Toc3897473"/>
      <w:r>
        <w:t>Dezinfekce</w:t>
      </w:r>
      <w:bookmarkEnd w:id="21"/>
    </w:p>
    <w:p w:rsidR="00F2652D" w:rsidRDefault="00F2652D" w:rsidP="00F92BFA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V případě potřeby použijte běžný dezinfekční prostředek.</w:t>
      </w:r>
    </w:p>
    <w:p w:rsidR="00C33B38" w:rsidRDefault="00F2652D" w:rsidP="00F2652D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 w:rsidRPr="00F2652D">
        <w:rPr>
          <w:rFonts w:ascii="inherit" w:hAnsi="inherit"/>
          <w:sz w:val="20"/>
          <w:szCs w:val="20"/>
          <w:u w:val="single"/>
        </w:rPr>
        <w:t>POZNÁMKA</w:t>
      </w:r>
      <w:r>
        <w:rPr>
          <w:rFonts w:ascii="inherit" w:hAnsi="inherit"/>
          <w:sz w:val="20"/>
          <w:szCs w:val="20"/>
        </w:rPr>
        <w:t xml:space="preserve">: </w:t>
      </w:r>
      <w:r w:rsidR="00CD78A4">
        <w:rPr>
          <w:rFonts w:ascii="inherit" w:hAnsi="inherit"/>
          <w:sz w:val="20"/>
          <w:szCs w:val="20"/>
        </w:rPr>
        <w:t>Nepoužívejte kyselin</w:t>
      </w:r>
      <w:r>
        <w:rPr>
          <w:rFonts w:ascii="inherit" w:hAnsi="inherit"/>
          <w:sz w:val="20"/>
          <w:szCs w:val="20"/>
        </w:rPr>
        <w:t xml:space="preserve">y nebo zásadité agresivní látky, rozpouštědla a látky s přídavkem acetonu nebo ředidla. </w:t>
      </w:r>
    </w:p>
    <w:p w:rsidR="00332CC8" w:rsidRDefault="00332CC8" w:rsidP="004C30EF">
      <w:pPr>
        <w:pStyle w:val="Nadpis1"/>
        <w:spacing w:line="360" w:lineRule="auto"/>
        <w:jc w:val="both"/>
      </w:pPr>
      <w:bookmarkStart w:id="22" w:name="_Toc2329359"/>
      <w:bookmarkStart w:id="23" w:name="_Toc3897474"/>
      <w:r>
        <w:lastRenderedPageBreak/>
        <w:t>P</w:t>
      </w:r>
      <w:r w:rsidR="006420EA">
        <w:t>ODMÍNKY LIKVIDACE</w:t>
      </w:r>
      <w:bookmarkEnd w:id="22"/>
      <w:bookmarkEnd w:id="23"/>
    </w:p>
    <w:p w:rsidR="00332CC8" w:rsidRPr="006420EA" w:rsidRDefault="00332CC8" w:rsidP="00F92BFA">
      <w:pPr>
        <w:spacing w:after="120" w:line="360" w:lineRule="auto"/>
        <w:jc w:val="both"/>
        <w:rPr>
          <w:rFonts w:ascii="inherit" w:hAnsi="inherit"/>
          <w:sz w:val="20"/>
          <w:szCs w:val="20"/>
          <w:u w:val="single"/>
        </w:rPr>
      </w:pPr>
      <w:r w:rsidRPr="006420EA">
        <w:rPr>
          <w:rFonts w:ascii="inherit" w:hAnsi="inherit"/>
          <w:sz w:val="20"/>
          <w:szCs w:val="20"/>
          <w:u w:val="single"/>
        </w:rPr>
        <w:t xml:space="preserve">Obecné podmínky likvidace </w:t>
      </w:r>
    </w:p>
    <w:p w:rsidR="006420EA" w:rsidRDefault="006420EA" w:rsidP="00F92BFA">
      <w:pPr>
        <w:spacing w:after="120" w:line="360" w:lineRule="auto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Výrobek nelze likvidovat jako běžný komunální odpad. Výrobek odevzdejte do příslušných prostor pro recyklaci.</w:t>
      </w:r>
    </w:p>
    <w:p w:rsidR="00C33B38" w:rsidRDefault="00C33B38" w:rsidP="00C33B38">
      <w:pPr>
        <w:pStyle w:val="Nadpis1"/>
      </w:pPr>
      <w:bookmarkStart w:id="24" w:name="_Toc2329360"/>
      <w:bookmarkStart w:id="25" w:name="_Toc3897475"/>
      <w:r>
        <w:t>TECHNICKÉ VLASTNOSTI:</w:t>
      </w:r>
      <w:bookmarkEnd w:id="24"/>
      <w:bookmarkEnd w:id="25"/>
    </w:p>
    <w:p w:rsidR="00C33B38" w:rsidRPr="00C33B38" w:rsidRDefault="00F2652D" w:rsidP="00C33B38">
      <w:pPr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Materiál: Vnitřní část: PVC materiál; Vnější část: Nylon; Rozměr: průměr 25 cm</w:t>
      </w:r>
    </w:p>
    <w:p w:rsidR="006420EA" w:rsidRPr="009E618A" w:rsidRDefault="006420EA" w:rsidP="004C30EF">
      <w:pPr>
        <w:pStyle w:val="Nadpis1"/>
        <w:spacing w:line="360" w:lineRule="auto"/>
        <w:jc w:val="both"/>
      </w:pPr>
      <w:bookmarkStart w:id="26" w:name="_Toc2329361"/>
      <w:bookmarkStart w:id="27" w:name="_Toc3897476"/>
      <w:r w:rsidRPr="009E618A">
        <w:t>ZÁRUKA</w:t>
      </w:r>
      <w:bookmarkEnd w:id="26"/>
      <w:bookmarkEnd w:id="27"/>
    </w:p>
    <w:p w:rsidR="006420EA" w:rsidRPr="009E618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Všechny výrobky mají záruku na vady materiálu nebo zpracování po dobu dvou let od data prodeje, s výhradou výjimek a omezení uvedených níže. Tato záruka není platná v případě nesprávného použití, zneužití nebo změny produktu a nedodržení pokynů k použití. Správné používání výrobku je uvedeno v uživatelské příručce.</w:t>
      </w:r>
    </w:p>
    <w:p w:rsidR="006420EA" w:rsidRPr="009E618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Prodejce ani výrobce neodpovídá za vzniklé škody, zranění nebo jiné škody při použití tohoto zařízení v rozporu s touto příručkou</w:t>
      </w:r>
    </w:p>
    <w:p w:rsidR="006420EA" w:rsidRPr="009E618A" w:rsidRDefault="009E618A" w:rsidP="00F92BFA">
      <w:pPr>
        <w:spacing w:after="120" w:line="360" w:lineRule="auto"/>
        <w:jc w:val="both"/>
        <w:rPr>
          <w:rFonts w:ascii="inherit" w:hAnsi="inherit"/>
          <w:sz w:val="20"/>
        </w:rPr>
      </w:pPr>
      <w:r>
        <w:rPr>
          <w:rFonts w:ascii="inherit" w:hAnsi="inherit"/>
          <w:sz w:val="20"/>
        </w:rPr>
        <w:t>Výrobce ani dodavatel</w:t>
      </w:r>
      <w:r w:rsidR="006420EA" w:rsidRPr="009E618A">
        <w:rPr>
          <w:rFonts w:ascii="inherit" w:hAnsi="inherit"/>
          <w:sz w:val="20"/>
        </w:rPr>
        <w:t xml:space="preserve"> neodpovídá za vady výrobku v případě postižení přístroje přírodními katastrofami, zanedbané údržby nebo neodborné úpravy, škody způsobené problémy s napájením (je-li k dispozici), použití částí nebo součástí, které nejsou schváleny, použití v rozporu s návodem k obsluze, neoprávněné úpravy přístroje, poškození při přepravě (odlišné od původních zásilek od </w:t>
      </w:r>
      <w:r>
        <w:rPr>
          <w:rFonts w:ascii="inherit" w:hAnsi="inherit"/>
          <w:sz w:val="20"/>
        </w:rPr>
        <w:t>výrobce/dodavatele)</w:t>
      </w:r>
    </w:p>
    <w:p w:rsidR="006420EA" w:rsidRPr="009E618A" w:rsidRDefault="006420EA" w:rsidP="00F92BFA">
      <w:pPr>
        <w:spacing w:after="120" w:line="360" w:lineRule="auto"/>
        <w:jc w:val="both"/>
        <w:rPr>
          <w:rFonts w:ascii="inherit" w:hAnsi="inherit"/>
          <w:sz w:val="20"/>
        </w:rPr>
      </w:pPr>
      <w:r w:rsidRPr="009E618A">
        <w:rPr>
          <w:rFonts w:ascii="inherit" w:hAnsi="inherit"/>
          <w:sz w:val="20"/>
        </w:rPr>
        <w:t>Záruka se nevztahuje na vady vzniklé běžným použitím výrobku.</w:t>
      </w:r>
    </w:p>
    <w:p w:rsidR="009E618A" w:rsidRDefault="009E618A" w:rsidP="004C30EF">
      <w:pPr>
        <w:pStyle w:val="Nadpis1"/>
        <w:spacing w:line="360" w:lineRule="auto"/>
        <w:jc w:val="both"/>
      </w:pPr>
      <w:bookmarkStart w:id="28" w:name="_Toc2329364"/>
      <w:bookmarkStart w:id="29" w:name="_Toc3897477"/>
      <w:r>
        <w:t>OSVOBOZUJÍCÍ KLAUZULE</w:t>
      </w:r>
      <w:bookmarkEnd w:id="28"/>
      <w:bookmarkEnd w:id="29"/>
    </w:p>
    <w:p w:rsidR="009E618A" w:rsidRPr="009E618A" w:rsidRDefault="003D3C5C" w:rsidP="00F92BFA">
      <w:pPr>
        <w:spacing w:after="120" w:line="360" w:lineRule="auto"/>
        <w:jc w:val="both"/>
        <w:rPr>
          <w:rFonts w:ascii="Inharit" w:hAnsi="Inharit"/>
          <w:color w:val="000000" w:themeColor="text1"/>
          <w:sz w:val="20"/>
          <w:szCs w:val="20"/>
        </w:rPr>
      </w:pPr>
      <w:r w:rsidRPr="006C1CD5">
        <w:rPr>
          <w:noProof/>
        </w:rPr>
        <w:drawing>
          <wp:anchor distT="0" distB="0" distL="114300" distR="114300" simplePos="0" relativeHeight="251659264" behindDoc="0" locked="0" layoutInCell="1" allowOverlap="1" wp14:anchorId="04DFAF0A" wp14:editId="144ACB48">
            <wp:simplePos x="0" y="0"/>
            <wp:positionH relativeFrom="page">
              <wp:posOffset>962025</wp:posOffset>
            </wp:positionH>
            <wp:positionV relativeFrom="paragraph">
              <wp:posOffset>1609725</wp:posOffset>
            </wp:positionV>
            <wp:extent cx="4919345" cy="145542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18A" w:rsidRPr="009E618A">
        <w:rPr>
          <w:rFonts w:ascii="Inharit" w:hAnsi="Inharit"/>
          <w:color w:val="000000" w:themeColor="text1"/>
          <w:sz w:val="20"/>
          <w:szCs w:val="20"/>
        </w:rPr>
        <w:t>Výrobce neposkytuje klientům žádné jiné záruky, podmínky ani garance, vyslovené či předpokládané než ty, které jsou explicitně uvedeny v tomto dokumentu, a to v souladu se zákonem. Výrobce nezaručuje, že používání příslušných produktů bude dlouhodobé a bez závad. Délka záruk, které mohou implicitně vyplývat ze zákona, je omezena na řádnou záruční lhůtu 2 roky. Některé státy a země nepovolují omezení a výjimky v délce záruky vyplývající náhodného nepřímého poškození produktu. V těchto státech či zemích se nemusí některá omezení či výjimky uvedené v této záruce vztahovat na klienta. Tyto záruční podmínky mohou být bez dalšího upozornění upravovány.</w:t>
      </w:r>
    </w:p>
    <w:p w:rsidR="0001731B" w:rsidRDefault="0001731B">
      <w:pPr>
        <w:rPr>
          <w:rFonts w:ascii="inherit" w:hAnsi="inherit"/>
          <w:sz w:val="20"/>
          <w:szCs w:val="20"/>
        </w:rPr>
      </w:pPr>
    </w:p>
    <w:sectPr w:rsidR="0001731B" w:rsidSect="003D3C5C">
      <w:pgSz w:w="11906" w:h="16838" w:code="9"/>
      <w:pgMar w:top="851" w:right="851" w:bottom="851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3A5" w:rsidRDefault="006F43A5" w:rsidP="007C7455">
      <w:pPr>
        <w:spacing w:after="0" w:line="240" w:lineRule="auto"/>
      </w:pPr>
      <w:r>
        <w:separator/>
      </w:r>
    </w:p>
  </w:endnote>
  <w:endnote w:type="continuationSeparator" w:id="0">
    <w:p w:rsidR="006F43A5" w:rsidRDefault="006F43A5" w:rsidP="007C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Inha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04939"/>
      <w:docPartObj>
        <w:docPartGallery w:val="Page Numbers (Bottom of Page)"/>
        <w:docPartUnique/>
      </w:docPartObj>
    </w:sdtPr>
    <w:sdtEndPr/>
    <w:sdtContent>
      <w:p w:rsidR="003D3C5C" w:rsidRDefault="003D3C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7455" w:rsidRDefault="007C74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3A5" w:rsidRDefault="006F43A5" w:rsidP="007C7455">
      <w:pPr>
        <w:spacing w:after="0" w:line="240" w:lineRule="auto"/>
      </w:pPr>
      <w:r>
        <w:separator/>
      </w:r>
    </w:p>
  </w:footnote>
  <w:footnote w:type="continuationSeparator" w:id="0">
    <w:p w:rsidR="006F43A5" w:rsidRDefault="006F43A5" w:rsidP="007C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2AB"/>
    <w:multiLevelType w:val="hybridMultilevel"/>
    <w:tmpl w:val="41A0E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0E7"/>
    <w:multiLevelType w:val="hybridMultilevel"/>
    <w:tmpl w:val="CBDC3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3E0B"/>
    <w:multiLevelType w:val="hybridMultilevel"/>
    <w:tmpl w:val="F3F0E004"/>
    <w:lvl w:ilvl="0" w:tplc="0A6EA344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2E3"/>
    <w:multiLevelType w:val="hybridMultilevel"/>
    <w:tmpl w:val="0B144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4B22"/>
    <w:multiLevelType w:val="hybridMultilevel"/>
    <w:tmpl w:val="21702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4963"/>
    <w:multiLevelType w:val="hybridMultilevel"/>
    <w:tmpl w:val="3B1C0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93BAC"/>
    <w:multiLevelType w:val="hybridMultilevel"/>
    <w:tmpl w:val="A34E9236"/>
    <w:lvl w:ilvl="0" w:tplc="EAA2D0C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932A7"/>
    <w:multiLevelType w:val="hybridMultilevel"/>
    <w:tmpl w:val="E9644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4E69"/>
    <w:multiLevelType w:val="hybridMultilevel"/>
    <w:tmpl w:val="CEB6B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3C67"/>
    <w:multiLevelType w:val="hybridMultilevel"/>
    <w:tmpl w:val="FA5A1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F1B94"/>
    <w:multiLevelType w:val="hybridMultilevel"/>
    <w:tmpl w:val="54BE6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F56ED"/>
    <w:multiLevelType w:val="hybridMultilevel"/>
    <w:tmpl w:val="277A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B"/>
    <w:rsid w:val="0001731B"/>
    <w:rsid w:val="00063235"/>
    <w:rsid w:val="000A5A12"/>
    <w:rsid w:val="000C7F20"/>
    <w:rsid w:val="000D49F8"/>
    <w:rsid w:val="001250D0"/>
    <w:rsid w:val="00186986"/>
    <w:rsid w:val="001A4D8E"/>
    <w:rsid w:val="00260E4C"/>
    <w:rsid w:val="002710A3"/>
    <w:rsid w:val="00282E3F"/>
    <w:rsid w:val="002B0492"/>
    <w:rsid w:val="00332CC8"/>
    <w:rsid w:val="00335138"/>
    <w:rsid w:val="00367828"/>
    <w:rsid w:val="0038072F"/>
    <w:rsid w:val="003B2D49"/>
    <w:rsid w:val="003D3C5C"/>
    <w:rsid w:val="003D48F3"/>
    <w:rsid w:val="004176DD"/>
    <w:rsid w:val="00424FDE"/>
    <w:rsid w:val="00434201"/>
    <w:rsid w:val="004B2E29"/>
    <w:rsid w:val="004B4969"/>
    <w:rsid w:val="004C30EF"/>
    <w:rsid w:val="004F1042"/>
    <w:rsid w:val="0051567C"/>
    <w:rsid w:val="005F625A"/>
    <w:rsid w:val="0061399B"/>
    <w:rsid w:val="006420EA"/>
    <w:rsid w:val="00647DF4"/>
    <w:rsid w:val="00650CAB"/>
    <w:rsid w:val="00680706"/>
    <w:rsid w:val="006D77A7"/>
    <w:rsid w:val="006D79B3"/>
    <w:rsid w:val="006F1369"/>
    <w:rsid w:val="006F43A5"/>
    <w:rsid w:val="007071A2"/>
    <w:rsid w:val="00766749"/>
    <w:rsid w:val="007A5D5E"/>
    <w:rsid w:val="007C5899"/>
    <w:rsid w:val="007C7455"/>
    <w:rsid w:val="00815D1A"/>
    <w:rsid w:val="0087425C"/>
    <w:rsid w:val="0089126B"/>
    <w:rsid w:val="008A3CD7"/>
    <w:rsid w:val="008E13E1"/>
    <w:rsid w:val="008E52EF"/>
    <w:rsid w:val="009158A5"/>
    <w:rsid w:val="00917A8F"/>
    <w:rsid w:val="00927CA1"/>
    <w:rsid w:val="00933D20"/>
    <w:rsid w:val="0096556B"/>
    <w:rsid w:val="00997A05"/>
    <w:rsid w:val="009E5442"/>
    <w:rsid w:val="009E618A"/>
    <w:rsid w:val="00A05DD9"/>
    <w:rsid w:val="00A70374"/>
    <w:rsid w:val="00AC39D8"/>
    <w:rsid w:val="00AF0B5A"/>
    <w:rsid w:val="00AF5442"/>
    <w:rsid w:val="00B0450E"/>
    <w:rsid w:val="00B22672"/>
    <w:rsid w:val="00B2401C"/>
    <w:rsid w:val="00B71975"/>
    <w:rsid w:val="00B858D8"/>
    <w:rsid w:val="00BA03C5"/>
    <w:rsid w:val="00BA26BC"/>
    <w:rsid w:val="00BB417B"/>
    <w:rsid w:val="00BF0E76"/>
    <w:rsid w:val="00C05F6F"/>
    <w:rsid w:val="00C33B38"/>
    <w:rsid w:val="00C44D8B"/>
    <w:rsid w:val="00C7384A"/>
    <w:rsid w:val="00C851C7"/>
    <w:rsid w:val="00CC1A19"/>
    <w:rsid w:val="00CC6CBC"/>
    <w:rsid w:val="00CD78A4"/>
    <w:rsid w:val="00CF3CA8"/>
    <w:rsid w:val="00CF5111"/>
    <w:rsid w:val="00CF6B3F"/>
    <w:rsid w:val="00D36F44"/>
    <w:rsid w:val="00D52604"/>
    <w:rsid w:val="00D61EE5"/>
    <w:rsid w:val="00D979FD"/>
    <w:rsid w:val="00DB7E6D"/>
    <w:rsid w:val="00DC3588"/>
    <w:rsid w:val="00E12DD8"/>
    <w:rsid w:val="00E50DA2"/>
    <w:rsid w:val="00EA2805"/>
    <w:rsid w:val="00EB0306"/>
    <w:rsid w:val="00EC75A8"/>
    <w:rsid w:val="00EF1251"/>
    <w:rsid w:val="00F01ABA"/>
    <w:rsid w:val="00F04B01"/>
    <w:rsid w:val="00F15CFA"/>
    <w:rsid w:val="00F2652D"/>
    <w:rsid w:val="00F473C2"/>
    <w:rsid w:val="00F92BFA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817FE-4AE2-43B7-B03D-FE048CEA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399B"/>
  </w:style>
  <w:style w:type="paragraph" w:styleId="Nadpis1">
    <w:name w:val="heading 1"/>
    <w:basedOn w:val="Normln"/>
    <w:next w:val="Normln"/>
    <w:link w:val="Nadpis1Char"/>
    <w:uiPriority w:val="9"/>
    <w:qFormat/>
    <w:rsid w:val="00017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8F3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000000" w:themeColor="text1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2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31B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6139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D48F3"/>
    <w:rPr>
      <w:rFonts w:asciiTheme="majorHAnsi" w:eastAsiaTheme="majorEastAsia" w:hAnsiTheme="majorHAnsi" w:cstheme="majorBidi"/>
      <w:color w:val="000000" w:themeColor="text1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20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CAB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7C7455"/>
    <w:pPr>
      <w:outlineLvl w:val="9"/>
    </w:pPr>
    <w:rPr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C745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7C745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C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455"/>
  </w:style>
  <w:style w:type="paragraph" w:styleId="Zpat">
    <w:name w:val="footer"/>
    <w:basedOn w:val="Normln"/>
    <w:link w:val="ZpatChar"/>
    <w:uiPriority w:val="99"/>
    <w:unhideWhenUsed/>
    <w:rsid w:val="007C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455"/>
  </w:style>
  <w:style w:type="paragraph" w:styleId="Obsah2">
    <w:name w:val="toc 2"/>
    <w:basedOn w:val="Normln"/>
    <w:next w:val="Normln"/>
    <w:autoRedefine/>
    <w:uiPriority w:val="39"/>
    <w:unhideWhenUsed/>
    <w:rsid w:val="00F2652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2A840-F37F-44D5-9764-4029CF0C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Vanžurová</dc:creator>
  <cp:keywords/>
  <dc:description/>
  <cp:lastModifiedBy>Jana Vanžurová</cp:lastModifiedBy>
  <cp:revision>32</cp:revision>
  <cp:lastPrinted>2019-03-01T10:44:00Z</cp:lastPrinted>
  <dcterms:created xsi:type="dcterms:W3CDTF">2019-01-22T08:29:00Z</dcterms:created>
  <dcterms:modified xsi:type="dcterms:W3CDTF">2019-04-05T11:36:00Z</dcterms:modified>
</cp:coreProperties>
</file>