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BE48" w14:textId="77777777" w:rsidR="009E618A" w:rsidRDefault="00650CAB" w:rsidP="000A5A12">
      <w:pPr>
        <w:spacing w:after="0" w:line="360" w:lineRule="auto"/>
        <w:jc w:val="center"/>
        <w:rPr>
          <w:rFonts w:ascii="inherit" w:hAnsi="inherit"/>
          <w:color w:val="000000" w:themeColor="text1"/>
          <w:sz w:val="20"/>
          <w:szCs w:val="20"/>
        </w:rPr>
      </w:pPr>
      <w:bookmarkStart w:id="0" w:name="_Toc535848948"/>
      <w:r>
        <w:rPr>
          <w:noProof/>
        </w:rPr>
        <w:drawing>
          <wp:anchor distT="0" distB="0" distL="114300" distR="114300" simplePos="0" relativeHeight="251660288" behindDoc="0" locked="0" layoutInCell="1" allowOverlap="1" wp14:anchorId="4B580DBD" wp14:editId="0C13E68D">
            <wp:simplePos x="0" y="0"/>
            <wp:positionH relativeFrom="margin">
              <wp:posOffset>2061845</wp:posOffset>
            </wp:positionH>
            <wp:positionV relativeFrom="margin">
              <wp:posOffset>-92710</wp:posOffset>
            </wp:positionV>
            <wp:extent cx="3705225" cy="2470150"/>
            <wp:effectExtent l="0" t="0" r="0" b="0"/>
            <wp:wrapSquare wrapText="bothSides"/>
            <wp:docPr id="2" name="obrázek 2" descr="http://www.morettispa.com/doc/logo-moped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rettispa.com/doc/logo-moped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1A461" w14:textId="77777777" w:rsidR="00650CAB" w:rsidRDefault="00650CAB" w:rsidP="00650CAB">
      <w:pPr>
        <w:spacing w:after="1320"/>
        <w:jc w:val="center"/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</w:pPr>
      <w:r w:rsidRPr="00650CAB">
        <w:rPr>
          <w:noProof/>
        </w:rPr>
        <w:t xml:space="preserve"> </w:t>
      </w:r>
    </w:p>
    <w:p w14:paraId="397BD702" w14:textId="77777777" w:rsidR="00650CAB" w:rsidRDefault="00650CAB" w:rsidP="00650CAB">
      <w:pPr>
        <w:spacing w:after="1320"/>
        <w:jc w:val="center"/>
        <w:rPr>
          <w:rFonts w:ascii="inherit" w:eastAsia="Times New Roman" w:hAnsi="inherit" w:cs="Courier New"/>
          <w:color w:val="212121"/>
          <w:sz w:val="46"/>
          <w:szCs w:val="50"/>
          <w:lang w:eastAsia="cs-CZ"/>
        </w:rPr>
      </w:pPr>
    </w:p>
    <w:p w14:paraId="5EF4434A" w14:textId="77777777" w:rsidR="00650CAB" w:rsidRDefault="00AC3A47" w:rsidP="00650CAB">
      <w:pPr>
        <w:spacing w:after="1320"/>
        <w:jc w:val="center"/>
        <w:rPr>
          <w:rFonts w:ascii="inherit" w:eastAsia="Times New Roman" w:hAnsi="inherit" w:cs="Courier New"/>
          <w:color w:val="212121"/>
          <w:sz w:val="46"/>
          <w:szCs w:val="50"/>
          <w:lang w:eastAsia="cs-CZ"/>
        </w:rPr>
      </w:pPr>
      <w:r>
        <w:rPr>
          <w:noProof/>
        </w:rPr>
        <w:drawing>
          <wp:inline distT="0" distB="0" distL="0" distR="0" wp14:anchorId="72806F5C" wp14:editId="443D08D8">
            <wp:extent cx="4333400" cy="3600450"/>
            <wp:effectExtent l="0" t="0" r="0" b="0"/>
            <wp:docPr id="29" name="Obrázek 29" descr="ÄtyÅkolovÃ© chodÃ­tko Urano odlehÄenÃ© sklÃ¡dacÃ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tyÅkolovÃ© chodÃ­tko Urano odlehÄenÃ© sklÃ¡dacÃ­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135" cy="360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6465F" w14:textId="77777777" w:rsidR="00650CAB" w:rsidRDefault="00781B94" w:rsidP="00650CAB">
      <w:pPr>
        <w:spacing w:after="1320"/>
        <w:jc w:val="center"/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</w:pPr>
      <w:r>
        <w:rPr>
          <w:rFonts w:ascii="inherit" w:eastAsia="Times New Roman" w:hAnsi="inherit" w:cs="Courier New"/>
          <w:color w:val="212121"/>
          <w:sz w:val="46"/>
          <w:szCs w:val="50"/>
          <w:lang w:eastAsia="cs-CZ"/>
        </w:rPr>
        <w:t xml:space="preserve">Čtyřkolové chodítko </w:t>
      </w:r>
      <w:proofErr w:type="spellStart"/>
      <w:r>
        <w:rPr>
          <w:rFonts w:ascii="inherit" w:eastAsia="Times New Roman" w:hAnsi="inherit" w:cs="Courier New"/>
          <w:color w:val="212121"/>
          <w:sz w:val="46"/>
          <w:szCs w:val="50"/>
          <w:lang w:eastAsia="cs-CZ"/>
        </w:rPr>
        <w:t>Urano</w:t>
      </w:r>
      <w:proofErr w:type="spellEnd"/>
      <w:r w:rsidR="00650CAB"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  <w:br/>
        <w:t>R</w:t>
      </w:r>
      <w:r w:rsidR="0038187B"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  <w:t>P</w:t>
      </w:r>
      <w:r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  <w:t>550</w:t>
      </w:r>
    </w:p>
    <w:p w14:paraId="60869834" w14:textId="77777777" w:rsidR="0038187B" w:rsidRPr="00B0450E" w:rsidRDefault="00650CAB" w:rsidP="00B0450E">
      <w:pPr>
        <w:spacing w:after="0" w:line="240" w:lineRule="auto"/>
        <w:jc w:val="center"/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</w:pPr>
      <w:r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  <w:t>Návod k obsluze</w:t>
      </w:r>
      <w:r w:rsidR="00B0450E"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373662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8A0019" w14:textId="77777777" w:rsidR="0038187B" w:rsidRPr="0038187B" w:rsidRDefault="0038187B">
          <w:pPr>
            <w:pStyle w:val="Nadpisobsahu"/>
            <w:rPr>
              <w:b/>
            </w:rPr>
          </w:pPr>
          <w:r w:rsidRPr="0038187B">
            <w:rPr>
              <w:b/>
            </w:rPr>
            <w:t>Obsah</w:t>
          </w:r>
        </w:p>
        <w:p w14:paraId="17328691" w14:textId="58ED996A" w:rsidR="007E096A" w:rsidRDefault="0038187B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083048" w:history="1">
            <w:r w:rsidR="007E096A" w:rsidRPr="0047084C">
              <w:rPr>
                <w:rStyle w:val="Hypertextovodkaz"/>
                <w:noProof/>
              </w:rPr>
              <w:t>OZNAČENÍ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_Toc5083048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1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08612718" w14:textId="5738FD2C" w:rsidR="007E096A" w:rsidRDefault="00000F4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49" w:history="1">
            <w:r w:rsidR="007E096A" w:rsidRPr="0047084C">
              <w:rPr>
                <w:rStyle w:val="Hypertextovodkaz"/>
                <w:noProof/>
              </w:rPr>
              <w:t>ÚVOD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_Toc5083049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1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122582F6" w14:textId="25C95F7B" w:rsidR="007E096A" w:rsidRDefault="00000F4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50" w:history="1">
            <w:r w:rsidR="007E096A" w:rsidRPr="0047084C">
              <w:rPr>
                <w:rStyle w:val="Hypertextovodkaz"/>
                <w:noProof/>
              </w:rPr>
              <w:t>ÚČEL VÝROBKU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_Toc5083050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1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441DD688" w14:textId="4F44BE2E" w:rsidR="007E096A" w:rsidRDefault="00000F4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51" w:history="1">
            <w:r w:rsidR="007E096A" w:rsidRPr="0047084C">
              <w:rPr>
                <w:rStyle w:val="Hypertextovodkaz"/>
                <w:noProof/>
              </w:rPr>
              <w:t>PROHLÁŠENÍ O SHODĚ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_Toc5083051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1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47BBFDF7" w14:textId="2247BE4A" w:rsidR="007E096A" w:rsidRDefault="00000F4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52" w:history="1">
            <w:r w:rsidR="007E096A" w:rsidRPr="0047084C">
              <w:rPr>
                <w:rStyle w:val="Hypertextovodkaz"/>
                <w:noProof/>
              </w:rPr>
              <w:t>VAROVÁNÍ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_Toc5083052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1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120ACF6A" w14:textId="1FD09A06" w:rsidR="007E096A" w:rsidRDefault="00000F45">
          <w:pPr>
            <w:pStyle w:val="Obsah2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53" w:history="1">
            <w:r w:rsidR="007E096A" w:rsidRPr="0047084C">
              <w:rPr>
                <w:rStyle w:val="Hypertextovodkaz"/>
                <w:noProof/>
              </w:rPr>
              <w:t>Obecná varování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_Toc5083053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1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43C3D173" w14:textId="5AED8829" w:rsidR="007E096A" w:rsidRDefault="00000F45">
          <w:pPr>
            <w:pStyle w:val="Obsah2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54" w:history="1">
            <w:r w:rsidR="007E096A" w:rsidRPr="0047084C">
              <w:rPr>
                <w:rStyle w:val="Hypertextovodkaz"/>
                <w:noProof/>
              </w:rPr>
              <w:t>Uživatelská varování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_Toc5083054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2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4A470E9B" w14:textId="7FA1E9D3" w:rsidR="007E096A" w:rsidRDefault="00000F45">
          <w:pPr>
            <w:pStyle w:val="Obsah2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55" w:history="1">
            <w:r w:rsidR="007E096A" w:rsidRPr="0047084C">
              <w:rPr>
                <w:rStyle w:val="Hypertextovodkaz"/>
                <w:noProof/>
              </w:rPr>
              <w:t>Nosnost: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_Toc5083055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2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23082461" w14:textId="2DD9D2E1" w:rsidR="007E096A" w:rsidRDefault="00000F4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56" w:history="1">
            <w:r w:rsidR="007E096A" w:rsidRPr="0047084C">
              <w:rPr>
                <w:rStyle w:val="Hypertextovodkaz"/>
                <w:noProof/>
              </w:rPr>
              <w:t>UPOZORNĚNÍ PRO SESTAVENÍ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_Toc5083056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2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0A686F70" w14:textId="603995BE" w:rsidR="007E096A" w:rsidRDefault="00000F4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57" w:history="1">
            <w:r w:rsidR="007E096A" w:rsidRPr="0047084C">
              <w:rPr>
                <w:rStyle w:val="Hypertextovodkaz"/>
                <w:noProof/>
              </w:rPr>
              <w:t>PŘED POUŽITÍM: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_Toc5083057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2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6387D920" w14:textId="59414813" w:rsidR="007E096A" w:rsidRDefault="00000F4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58" w:history="1">
            <w:r w:rsidR="007E096A" w:rsidRPr="0047084C">
              <w:rPr>
                <w:rStyle w:val="Hypertextovodkaz"/>
                <w:noProof/>
              </w:rPr>
              <w:t>INSTRUKCE K SESTAVENÍ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_Toc5083058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3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6DA19EBA" w14:textId="444AAA55" w:rsidR="007E096A" w:rsidRDefault="00000F45">
          <w:pPr>
            <w:pStyle w:val="Obsah2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59" w:history="1">
            <w:r w:rsidR="007E096A" w:rsidRPr="0047084C">
              <w:rPr>
                <w:rStyle w:val="Hypertextovodkaz"/>
                <w:noProof/>
              </w:rPr>
              <w:t>Před sestavením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_Toc5083059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3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6C533A4E" w14:textId="52526E1A" w:rsidR="007E096A" w:rsidRDefault="00000F45">
          <w:pPr>
            <w:pStyle w:val="Obsah2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60" w:history="1">
            <w:r w:rsidR="007E096A" w:rsidRPr="0047084C">
              <w:rPr>
                <w:rStyle w:val="Hypertextovodkaz"/>
                <w:noProof/>
              </w:rPr>
              <w:t>Montáž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_Toc5083060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3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4FF0C28A" w14:textId="7FEADB5B" w:rsidR="007E096A" w:rsidRDefault="00000F45">
          <w:pPr>
            <w:pStyle w:val="Obsah2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61" w:history="1">
            <w:r w:rsidR="007E096A" w:rsidRPr="0047084C">
              <w:rPr>
                <w:rStyle w:val="Hypertextovodkaz"/>
                <w:noProof/>
              </w:rPr>
              <w:t>Složení chodítka: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_Toc5083061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3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6263F9E1" w14:textId="1F7B4C8E" w:rsidR="007E096A" w:rsidRDefault="00000F45">
          <w:pPr>
            <w:pStyle w:val="Obsah2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62" w:history="1">
            <w:r w:rsidR="007E096A" w:rsidRPr="0047084C">
              <w:rPr>
                <w:rStyle w:val="Hypertextovodkaz"/>
                <w:noProof/>
              </w:rPr>
              <w:t>Instalace madel a nastavení madel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_Toc5083062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3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30760D19" w14:textId="77B32E87" w:rsidR="007E096A" w:rsidRDefault="00000F45">
          <w:pPr>
            <w:pStyle w:val="Obsah2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63" w:history="1">
            <w:r w:rsidR="007E096A" w:rsidRPr="0047084C">
              <w:rPr>
                <w:rStyle w:val="Hypertextovodkaz"/>
                <w:noProof/>
                <w:shd w:val="clear" w:color="auto" w:fill="FFFFFF"/>
              </w:rPr>
              <w:t>Upevnění tašky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_Toc5083063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3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3BE14230" w14:textId="7C47C75A" w:rsidR="007E096A" w:rsidRDefault="00000F45">
          <w:pPr>
            <w:pStyle w:val="Obsah2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64" w:history="1">
            <w:r w:rsidR="007E096A" w:rsidRPr="0047084C">
              <w:rPr>
                <w:rStyle w:val="Hypertextovodkaz"/>
                <w:noProof/>
                <w:shd w:val="clear" w:color="auto" w:fill="FFFFFF"/>
              </w:rPr>
              <w:t>Upevnění zádové opěrky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_Toc5083064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3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4BB4F790" w14:textId="6F2EA0D8" w:rsidR="007E096A" w:rsidRDefault="00000F45">
          <w:pPr>
            <w:pStyle w:val="Obsah2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65" w:history="1">
            <w:r w:rsidR="007E096A" w:rsidRPr="0047084C">
              <w:rPr>
                <w:rStyle w:val="Hypertextovodkaz"/>
                <w:noProof/>
              </w:rPr>
              <w:t>Sedadlo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_Toc5083065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4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788A3E21" w14:textId="4F11F5A4" w:rsidR="007E096A" w:rsidRDefault="00000F45">
          <w:pPr>
            <w:pStyle w:val="Obsah2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66" w:history="1">
            <w:r w:rsidR="007E096A" w:rsidRPr="0047084C">
              <w:rPr>
                <w:rStyle w:val="Hypertextovodkaz"/>
                <w:noProof/>
              </w:rPr>
              <w:t>Brzdy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_Toc5083066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4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6A7E6AA0" w14:textId="28C3C633" w:rsidR="007E096A" w:rsidRDefault="00000F45">
          <w:pPr>
            <w:pStyle w:val="Obsah2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67" w:history="1">
            <w:r w:rsidR="007E096A" w:rsidRPr="0047084C">
              <w:rPr>
                <w:rStyle w:val="Hypertextovodkaz"/>
                <w:noProof/>
              </w:rPr>
              <w:t>Zablokování kol (ruční brzda)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_Toc5083067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4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0ECD7909" w14:textId="3DAFCBA7" w:rsidR="007E096A" w:rsidRDefault="00000F4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68" w:history="1">
            <w:r w:rsidR="007E096A" w:rsidRPr="0047084C">
              <w:rPr>
                <w:rStyle w:val="Hypertextovodkaz"/>
                <w:noProof/>
              </w:rPr>
              <w:t>PRAKTICKÉ POUŽITÍ: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_Toc5083068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4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7BA8F9E0" w14:textId="447B0ABA" w:rsidR="007E096A" w:rsidRDefault="00000F4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69" w:history="1">
            <w:r w:rsidR="007E096A" w:rsidRPr="0047084C">
              <w:rPr>
                <w:rStyle w:val="Hypertextovodkaz"/>
                <w:noProof/>
              </w:rPr>
              <w:t>ČIŠTĚNÍ A ÚDRŽBA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_Toc5083069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4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1C86FBA4" w14:textId="13947141" w:rsidR="007E096A" w:rsidRDefault="00000F45">
          <w:pPr>
            <w:pStyle w:val="Obsah2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70" w:history="1">
            <w:r w:rsidR="007E096A" w:rsidRPr="0047084C">
              <w:rPr>
                <w:rStyle w:val="Hypertextovodkaz"/>
                <w:noProof/>
              </w:rPr>
              <w:t>Čištění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_Toc5083070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4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01708066" w14:textId="0CBD8C9E" w:rsidR="007E096A" w:rsidRDefault="00000F45">
          <w:pPr>
            <w:pStyle w:val="Obsah2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71" w:history="1">
            <w:r w:rsidR="007E096A" w:rsidRPr="0047084C">
              <w:rPr>
                <w:rStyle w:val="Hypertextovodkaz"/>
                <w:noProof/>
              </w:rPr>
              <w:t>Údržba kol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_Toc5083071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4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53FA76E9" w14:textId="439D65FE" w:rsidR="007E096A" w:rsidRDefault="00000F4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72" w:history="1">
            <w:r w:rsidR="007E096A" w:rsidRPr="0047084C">
              <w:rPr>
                <w:rStyle w:val="Hypertextovodkaz"/>
                <w:noProof/>
              </w:rPr>
              <w:t>TECHNICKÉ VLASTNOSTI: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_Toc5083072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5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4AB0A8C7" w14:textId="33235A2B" w:rsidR="007E096A" w:rsidRDefault="00000F4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73" w:history="1">
            <w:r w:rsidR="007E096A" w:rsidRPr="0047084C">
              <w:rPr>
                <w:rStyle w:val="Hypertextovodkaz"/>
                <w:noProof/>
              </w:rPr>
              <w:t>NÁHRADNÍ DÍLY A PŘÍSLUŠENSTVÍ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_Toc5083073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5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7647C151" w14:textId="35A71BD5" w:rsidR="007E096A" w:rsidRDefault="00000F4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74" w:history="1">
            <w:r w:rsidR="007E096A" w:rsidRPr="0047084C">
              <w:rPr>
                <w:rStyle w:val="Hypertextovodkaz"/>
                <w:noProof/>
              </w:rPr>
              <w:t>ZÁRUKA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_Toc5083074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5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39D03743" w14:textId="416F9466" w:rsidR="007E096A" w:rsidRDefault="00000F4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75" w:history="1">
            <w:r w:rsidR="007E096A" w:rsidRPr="0047084C">
              <w:rPr>
                <w:rStyle w:val="Hypertextovodkaz"/>
                <w:noProof/>
              </w:rPr>
              <w:t>OPRAVY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_Toc5083075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5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03E4E27B" w14:textId="4DC2F754" w:rsidR="007E096A" w:rsidRDefault="00000F45">
          <w:pPr>
            <w:pStyle w:val="Obsah2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76" w:history="1">
            <w:r w:rsidR="007E096A" w:rsidRPr="0047084C">
              <w:rPr>
                <w:rStyle w:val="Hypertextovodkaz"/>
                <w:noProof/>
              </w:rPr>
              <w:t>Záruční opravy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_Toc5083076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5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7ED133B0" w14:textId="0377FBF0" w:rsidR="007E096A" w:rsidRDefault="00000F45">
          <w:pPr>
            <w:pStyle w:val="Obsah2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77" w:history="1">
            <w:r w:rsidR="007E096A" w:rsidRPr="0047084C">
              <w:rPr>
                <w:rStyle w:val="Hypertextovodkaz"/>
                <w:noProof/>
              </w:rPr>
              <w:t>Oprava výrobku, na který se nevztahuje záruka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_Toc5083077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5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3AB8F12E" w14:textId="48DAD1B0" w:rsidR="007E096A" w:rsidRDefault="00000F45">
          <w:pPr>
            <w:pStyle w:val="Obsah2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78" w:history="1">
            <w:r w:rsidR="007E096A" w:rsidRPr="0047084C">
              <w:rPr>
                <w:rStyle w:val="Hypertextovodkaz"/>
                <w:noProof/>
              </w:rPr>
              <w:t>Neoprávněná reklamace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_Toc5083078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6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6409507E" w14:textId="78800308" w:rsidR="007E096A" w:rsidRDefault="00000F4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79" w:history="1">
            <w:r w:rsidR="007E096A" w:rsidRPr="0047084C">
              <w:rPr>
                <w:rStyle w:val="Hypertextovodkaz"/>
                <w:noProof/>
              </w:rPr>
              <w:t>NÁHRADNÍ DÍLY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_Toc5083079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6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5461E95C" w14:textId="677C1ACB" w:rsidR="007E096A" w:rsidRDefault="00000F4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5083080" w:history="1">
            <w:r w:rsidR="007E096A" w:rsidRPr="0047084C">
              <w:rPr>
                <w:rStyle w:val="Hypertextovodkaz"/>
                <w:noProof/>
              </w:rPr>
              <w:t>OSVOBOZUJÍCÍ KLAUZULE</w:t>
            </w:r>
            <w:r w:rsidR="007E096A">
              <w:rPr>
                <w:noProof/>
                <w:webHidden/>
              </w:rPr>
              <w:tab/>
            </w:r>
            <w:r w:rsidR="007E096A">
              <w:rPr>
                <w:noProof/>
                <w:webHidden/>
              </w:rPr>
              <w:fldChar w:fldCharType="begin"/>
            </w:r>
            <w:r w:rsidR="007E096A">
              <w:rPr>
                <w:noProof/>
                <w:webHidden/>
              </w:rPr>
              <w:instrText xml:space="preserve"> PAGEREF _Toc5083080 \h </w:instrText>
            </w:r>
            <w:r w:rsidR="007E096A">
              <w:rPr>
                <w:noProof/>
                <w:webHidden/>
              </w:rPr>
            </w:r>
            <w:r w:rsidR="007E096A">
              <w:rPr>
                <w:noProof/>
                <w:webHidden/>
              </w:rPr>
              <w:fldChar w:fldCharType="separate"/>
            </w:r>
            <w:r w:rsidR="000F75D6">
              <w:rPr>
                <w:noProof/>
                <w:webHidden/>
              </w:rPr>
              <w:t>6</w:t>
            </w:r>
            <w:r w:rsidR="007E096A">
              <w:rPr>
                <w:noProof/>
                <w:webHidden/>
              </w:rPr>
              <w:fldChar w:fldCharType="end"/>
            </w:r>
          </w:hyperlink>
        </w:p>
        <w:p w14:paraId="4B42445D" w14:textId="77777777" w:rsidR="003C2530" w:rsidRDefault="0038187B">
          <w:pPr>
            <w:rPr>
              <w:b/>
              <w:bCs/>
            </w:rPr>
            <w:sectPr w:rsidR="003C2530" w:rsidSect="00D25C50">
              <w:footerReference w:type="default" r:id="rId10"/>
              <w:footerReference w:type="first" r:id="rId11"/>
              <w:pgSz w:w="11906" w:h="16838" w:code="9"/>
              <w:pgMar w:top="851" w:right="851" w:bottom="851" w:left="851" w:header="709" w:footer="709" w:gutter="567"/>
              <w:pgNumType w:start="1"/>
              <w:cols w:space="708"/>
              <w:docGrid w:linePitch="360"/>
            </w:sectPr>
          </w:pPr>
          <w:r>
            <w:rPr>
              <w:b/>
              <w:bCs/>
            </w:rPr>
            <w:fldChar w:fldCharType="end"/>
          </w:r>
        </w:p>
      </w:sdtContent>
    </w:sdt>
    <w:p w14:paraId="48458ABD" w14:textId="77777777" w:rsidR="000A5A12" w:rsidRPr="00650CAB" w:rsidRDefault="00140F45" w:rsidP="004C30EF">
      <w:pPr>
        <w:spacing w:after="0" w:line="240" w:lineRule="auto"/>
        <w:jc w:val="center"/>
        <w:rPr>
          <w:rFonts w:ascii="inherit" w:hAnsi="inherit"/>
          <w:color w:val="000000" w:themeColor="text1"/>
          <w:sz w:val="16"/>
          <w:szCs w:val="16"/>
        </w:rPr>
      </w:pPr>
      <w:r>
        <w:rPr>
          <w:rFonts w:ascii="inherit" w:hAnsi="inherit"/>
          <w:color w:val="000000" w:themeColor="text1"/>
          <w:sz w:val="16"/>
          <w:szCs w:val="16"/>
        </w:rPr>
        <w:lastRenderedPageBreak/>
        <w:t xml:space="preserve">Zdravotnický </w:t>
      </w:r>
      <w:r w:rsidR="000A5A12" w:rsidRPr="00650CAB">
        <w:rPr>
          <w:rFonts w:ascii="inherit" w:hAnsi="inherit"/>
          <w:color w:val="000000" w:themeColor="text1"/>
          <w:sz w:val="16"/>
          <w:szCs w:val="16"/>
        </w:rPr>
        <w:t>prostředek třídy I</w:t>
      </w:r>
    </w:p>
    <w:p w14:paraId="2EE83E2B" w14:textId="77777777" w:rsidR="000A5A12" w:rsidRPr="00650CAB" w:rsidRDefault="000A5A12" w:rsidP="004C30EF">
      <w:pPr>
        <w:spacing w:after="240" w:line="240" w:lineRule="auto"/>
        <w:jc w:val="center"/>
        <w:rPr>
          <w:rFonts w:ascii="inherit" w:hAnsi="inherit"/>
          <w:color w:val="000000" w:themeColor="text1"/>
          <w:sz w:val="16"/>
          <w:szCs w:val="16"/>
        </w:rPr>
      </w:pPr>
      <w:r w:rsidRPr="00650CAB">
        <w:rPr>
          <w:rFonts w:ascii="inherit" w:hAnsi="inherit"/>
          <w:color w:val="000000" w:themeColor="text1"/>
          <w:sz w:val="16"/>
          <w:szCs w:val="16"/>
        </w:rPr>
        <w:t xml:space="preserve">D. </w:t>
      </w:r>
      <w:proofErr w:type="spellStart"/>
      <w:r w:rsidRPr="00650CAB">
        <w:rPr>
          <w:rFonts w:ascii="inherit" w:hAnsi="inherit"/>
          <w:color w:val="000000" w:themeColor="text1"/>
          <w:sz w:val="16"/>
          <w:szCs w:val="16"/>
        </w:rPr>
        <w:t>Lgs</w:t>
      </w:r>
      <w:proofErr w:type="spellEnd"/>
      <w:r w:rsidRPr="00650CAB">
        <w:rPr>
          <w:rFonts w:ascii="inherit" w:hAnsi="inherit"/>
          <w:color w:val="000000" w:themeColor="text1"/>
          <w:sz w:val="16"/>
          <w:szCs w:val="16"/>
        </w:rPr>
        <w:t xml:space="preserve"> 24/02/97 n.46 podle prováděcí směrnice 93/42 EHS a následných změn</w:t>
      </w:r>
    </w:p>
    <w:p w14:paraId="1EA5B25E" w14:textId="77777777" w:rsidR="000A5A12" w:rsidRPr="00650CAB" w:rsidRDefault="006420EA" w:rsidP="004C30EF">
      <w:pPr>
        <w:pStyle w:val="Nadpis1"/>
        <w:spacing w:before="0" w:line="360" w:lineRule="auto"/>
        <w:jc w:val="both"/>
      </w:pPr>
      <w:bookmarkStart w:id="1" w:name="_Toc5083048"/>
      <w:r>
        <w:t>OZNAČENÍ</w:t>
      </w:r>
      <w:bookmarkEnd w:id="1"/>
    </w:p>
    <w:p w14:paraId="55B88335" w14:textId="77777777" w:rsidR="000A5A12" w:rsidRPr="000A5A12" w:rsidRDefault="00AC3A47" w:rsidP="00F92BFA">
      <w:pPr>
        <w:spacing w:after="120" w:line="360" w:lineRule="auto"/>
        <w:jc w:val="both"/>
        <w:rPr>
          <w:rFonts w:ascii="inherit" w:hAnsi="inherit"/>
          <w:color w:val="000000" w:themeColor="text1"/>
          <w:sz w:val="20"/>
          <w:szCs w:val="20"/>
        </w:rPr>
      </w:pPr>
      <w:r>
        <w:rPr>
          <w:rFonts w:ascii="inherit" w:hAnsi="inherit"/>
          <w:color w:val="000000" w:themeColor="text1"/>
          <w:sz w:val="20"/>
          <w:szCs w:val="20"/>
        </w:rPr>
        <w:t>RP550 Čtyřkolové chodítko URANO</w:t>
      </w:r>
    </w:p>
    <w:p w14:paraId="228E77E6" w14:textId="77777777" w:rsidR="0061399B" w:rsidRPr="000A5A12" w:rsidRDefault="006420EA" w:rsidP="004C30EF">
      <w:pPr>
        <w:pStyle w:val="Nadpis1"/>
        <w:spacing w:line="360" w:lineRule="auto"/>
        <w:jc w:val="both"/>
      </w:pPr>
      <w:bookmarkStart w:id="2" w:name="_Toc5083049"/>
      <w:r>
        <w:t>ÚVOD</w:t>
      </w:r>
      <w:bookmarkEnd w:id="2"/>
    </w:p>
    <w:p w14:paraId="4E9A7EC2" w14:textId="77777777" w:rsidR="0061399B" w:rsidRDefault="009C5233" w:rsidP="00AC3A47">
      <w:pPr>
        <w:autoSpaceDE w:val="0"/>
        <w:autoSpaceDN w:val="0"/>
        <w:adjustRightInd w:val="0"/>
        <w:spacing w:after="120" w:line="360" w:lineRule="auto"/>
        <w:jc w:val="both"/>
        <w:rPr>
          <w:rFonts w:ascii="inherit" w:eastAsia="Cambria-Identity-H" w:hAnsi="inherit" w:cs="Cambria-Identity-H" w:hint="eastAsia"/>
          <w:sz w:val="20"/>
          <w:szCs w:val="20"/>
        </w:rPr>
      </w:pPr>
      <w:r w:rsidRPr="009C5233">
        <w:rPr>
          <w:rFonts w:ascii="inherit" w:eastAsia="Cambria-Identity-H" w:hAnsi="inherit" w:cs="Cambria-Identity-H"/>
          <w:sz w:val="20"/>
          <w:szCs w:val="20"/>
        </w:rPr>
        <w:t xml:space="preserve">Děkujeme za zakoupení </w:t>
      </w:r>
      <w:r w:rsidR="003C2530">
        <w:rPr>
          <w:rFonts w:ascii="inherit" w:eastAsia="Cambria-Identity-H" w:hAnsi="inherit" w:cs="Cambria-Identity-H"/>
          <w:sz w:val="20"/>
          <w:szCs w:val="20"/>
        </w:rPr>
        <w:t>chodítka pro seniory značky</w:t>
      </w:r>
      <w:r w:rsidRPr="009C5233">
        <w:rPr>
          <w:rFonts w:ascii="inherit" w:eastAsia="Cambria-Identity-H" w:hAnsi="inherit" w:cs="Cambria-Identity-H"/>
          <w:sz w:val="20"/>
          <w:szCs w:val="20"/>
        </w:rPr>
        <w:t xml:space="preserve"> MOPEDIA. Tento návod vám poskytuje rady k správnému použití</w:t>
      </w:r>
      <w:r>
        <w:rPr>
          <w:rFonts w:ascii="inherit" w:eastAsia="Cambria-Identity-H" w:hAnsi="inherit" w:cs="Cambria-Identity-H"/>
          <w:sz w:val="20"/>
          <w:szCs w:val="20"/>
        </w:rPr>
        <w:t xml:space="preserve"> </w:t>
      </w:r>
      <w:r w:rsidRPr="009C5233">
        <w:rPr>
          <w:rFonts w:ascii="inherit" w:eastAsia="Cambria-Identity-H" w:hAnsi="inherit" w:cs="Cambria-Identity-H"/>
          <w:sz w:val="20"/>
          <w:szCs w:val="20"/>
        </w:rPr>
        <w:t>a</w:t>
      </w:r>
      <w:r>
        <w:rPr>
          <w:rFonts w:ascii="inherit" w:eastAsia="Cambria-Identity-H" w:hAnsi="inherit" w:cs="Cambria-Identity-H"/>
          <w:sz w:val="20"/>
          <w:szCs w:val="20"/>
        </w:rPr>
        <w:t> </w:t>
      </w:r>
      <w:r w:rsidRPr="009C5233">
        <w:rPr>
          <w:rFonts w:ascii="inherit" w:eastAsia="Cambria-Identity-H" w:hAnsi="inherit" w:cs="Cambria-Identity-H"/>
          <w:sz w:val="20"/>
          <w:szCs w:val="20"/>
        </w:rPr>
        <w:t>bezpečnostní pokyny. Doporučujeme pečlivě přečíst tento návod před prvním použitím. V případě pochybností se obraťte na svého prodejce.</w:t>
      </w:r>
    </w:p>
    <w:p w14:paraId="17FDA7E7" w14:textId="77777777" w:rsidR="009C5233" w:rsidRDefault="009C5233" w:rsidP="009C5233">
      <w:pPr>
        <w:pStyle w:val="Nadpis1"/>
        <w:spacing w:before="0" w:line="360" w:lineRule="auto"/>
        <w:jc w:val="both"/>
      </w:pPr>
      <w:bookmarkStart w:id="3" w:name="_Toc5083050"/>
      <w:r>
        <w:t xml:space="preserve">ÚČEL </w:t>
      </w:r>
      <w:r w:rsidR="00781B94">
        <w:t>VÝROBKU</w:t>
      </w:r>
      <w:bookmarkEnd w:id="3"/>
    </w:p>
    <w:p w14:paraId="791F1112" w14:textId="77777777" w:rsidR="004A7CE8" w:rsidRDefault="00781B94" w:rsidP="00EB6D19">
      <w:pPr>
        <w:spacing w:after="12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Toto chodítko je vhodné pro osoby s pohybovými obtížemi. Může být použito i jako pomocný prostředek k usnadnění ambulantní péče. Rozhodně ji nemohou používat lidé se zjevnou poruchou ruky a ramene, a to i lidé s poruchou rovnováhy. Chodítko lze použít v interiéru i exteriéru. Doporučujeme používat na rovném povrchu, kde se všechna kola dotýkají povrchu. Nesmí být používáno na kamenném povrchu ani na šikmé ploše, chodítko pak může být nestabilní. Zařízení není určeno k převážení lidí nebo věcí.</w:t>
      </w:r>
    </w:p>
    <w:p w14:paraId="37DEDCAC" w14:textId="77777777" w:rsidR="00EB6D19" w:rsidRPr="003F37C2" w:rsidRDefault="00EB6D19" w:rsidP="00EB6D19">
      <w:pPr>
        <w:spacing w:after="120" w:line="360" w:lineRule="auto"/>
        <w:jc w:val="both"/>
        <w:rPr>
          <w:rFonts w:ascii="inherit" w:hAnsi="inherit"/>
          <w:b/>
          <w:sz w:val="20"/>
          <w:szCs w:val="20"/>
          <w:u w:val="single"/>
        </w:rPr>
      </w:pPr>
      <w:r w:rsidRPr="003F37C2">
        <w:rPr>
          <w:rFonts w:ascii="inherit" w:hAnsi="inherit"/>
          <w:b/>
          <w:sz w:val="20"/>
          <w:szCs w:val="20"/>
          <w:u w:val="single"/>
        </w:rPr>
        <w:t>UPOZORNĚNÍ:</w:t>
      </w:r>
    </w:p>
    <w:p w14:paraId="7BC47325" w14:textId="77777777" w:rsidR="004A7CE8" w:rsidRDefault="004A7CE8" w:rsidP="009C5233">
      <w:pPr>
        <w:spacing w:after="12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Nepoužívejte výrobek pro účely, které nejsou uvedeny v této příručce. Výrobce odmítá veškerou odpovědnost za jakékoli důsledky vyplývající z nesprávného použití tohoto výrobku a neoprávněné manipulace nebo změny na rámu výrobku. Výrobce může upravovat výrobek nebo návod k použití bez předchozího upozornění.</w:t>
      </w:r>
    </w:p>
    <w:p w14:paraId="3A824947" w14:textId="77777777" w:rsidR="0061399B" w:rsidRPr="000A5A12" w:rsidRDefault="0061399B" w:rsidP="004C30EF">
      <w:pPr>
        <w:pStyle w:val="Nadpis1"/>
        <w:spacing w:before="0" w:line="360" w:lineRule="auto"/>
        <w:jc w:val="both"/>
      </w:pPr>
      <w:bookmarkStart w:id="4" w:name="_Toc5083051"/>
      <w:r w:rsidRPr="000A5A12">
        <w:t>P</w:t>
      </w:r>
      <w:bookmarkEnd w:id="0"/>
      <w:r w:rsidR="00F92BFA">
        <w:t>ROHLÁŠENÍ O SHODĚ</w:t>
      </w:r>
      <w:bookmarkEnd w:id="4"/>
    </w:p>
    <w:p w14:paraId="334205EE" w14:textId="77777777" w:rsidR="0061399B" w:rsidRPr="000A5A12" w:rsidRDefault="0061399B" w:rsidP="00F92B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0A5A12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Výrobce prohlašuje na vlastní odpovědnost, že výrobek jím vyráběný a prodávaný, který patří do sortimentu </w:t>
      </w:r>
      <w:r w:rsidR="004A7CE8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chodítek</w:t>
      </w:r>
      <w:r w:rsidRPr="000A5A12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, je v souladu s evropskou směrnicí o</w:t>
      </w:r>
      <w:r w:rsidRPr="000A5A12">
        <w:rPr>
          <w:rFonts w:ascii="inherit" w:eastAsia="Times New Roman" w:hAnsi="inherit" w:cs="Courier New" w:hint="eastAsia"/>
          <w:color w:val="000000" w:themeColor="text1"/>
          <w:sz w:val="20"/>
          <w:szCs w:val="20"/>
          <w:lang w:eastAsia="cs-CZ"/>
        </w:rPr>
        <w:t> </w:t>
      </w:r>
      <w:r w:rsidRPr="000A5A12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zdravotnických prostředcích (93/42/EEC). Výrobce zaručuje</w:t>
      </w:r>
      <w:r w:rsidR="004A7CE8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 a prohlašuje</w:t>
      </w:r>
      <w:r w:rsidRPr="000A5A12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 na vlastní odpovědnost následující:</w:t>
      </w:r>
    </w:p>
    <w:p w14:paraId="06EA4CD6" w14:textId="77777777" w:rsidR="0061399B" w:rsidRPr="000A5A12" w:rsidRDefault="0061399B" w:rsidP="00F92BFA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0A5A12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Zařízení, která jsou předmětem jednání, splňují základní požadavky požadované směrnicí 93/42/ EHS, jak je stanoveno v příloze VII uvedené směrnice.</w:t>
      </w:r>
    </w:p>
    <w:p w14:paraId="65926B42" w14:textId="77777777" w:rsidR="0061399B" w:rsidRPr="000A5A12" w:rsidRDefault="0061399B" w:rsidP="00F92BFA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0A5A12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Diskutovaná zařízení NEJSOUMĚŘÍCÍ NÁSTROJE</w:t>
      </w:r>
      <w:r w:rsidR="004A7CE8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.</w:t>
      </w:r>
    </w:p>
    <w:p w14:paraId="3D29A1B0" w14:textId="77777777" w:rsidR="0061399B" w:rsidRPr="000A5A12" w:rsidRDefault="0061399B" w:rsidP="00F92BFA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0A5A12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Diskutovaná zařízení NEJSOU </w:t>
      </w:r>
      <w:r w:rsidR="004A7CE8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URČENA PRO </w:t>
      </w:r>
      <w:r w:rsidR="001516D8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KLINICKÉ</w:t>
      </w:r>
      <w:r w:rsidRPr="000A5A12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 TESTOVÁNÍ</w:t>
      </w:r>
      <w:r w:rsidR="004A7CE8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.</w:t>
      </w:r>
    </w:p>
    <w:p w14:paraId="012CA732" w14:textId="77777777" w:rsidR="0061399B" w:rsidRPr="000A5A12" w:rsidRDefault="0061399B" w:rsidP="00F92BFA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0A5A12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Diskutovaná zařízení jsou dodávána v NESTERILNÍM BALENÍ.</w:t>
      </w:r>
    </w:p>
    <w:p w14:paraId="2916DCDE" w14:textId="77777777" w:rsidR="0061399B" w:rsidRPr="000A5A12" w:rsidRDefault="0061399B" w:rsidP="00F92BFA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0A5A12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Diskutovaná zařízení patří do třídy I°.</w:t>
      </w:r>
    </w:p>
    <w:p w14:paraId="6D23F0DC" w14:textId="77777777" w:rsidR="0061399B" w:rsidRPr="000A5A12" w:rsidRDefault="004A7CE8" w:rsidP="00F92BFA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NENÍ povoleno používat a instalovat zařízení s výjimkou povolení výrobce. Výrobce ukládá technickou dokumentaci příslušným orgánům, aby prokázal shodu zařízení 92/42/EHS.</w:t>
      </w:r>
    </w:p>
    <w:p w14:paraId="16DC26D1" w14:textId="77777777" w:rsidR="00D52604" w:rsidRPr="000A5A12" w:rsidRDefault="0061399B" w:rsidP="00F92BFA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 w:hanging="357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0A5A12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Výrobce udržuje a poskytuje orgánům technickou dokumentaci prokazující splnění evropské směrnice o zdravotnických prostředcích (93/42/EEC.)</w:t>
      </w:r>
    </w:p>
    <w:p w14:paraId="16C9D79A" w14:textId="77777777" w:rsidR="004A7CE8" w:rsidRDefault="00EB6D19" w:rsidP="004A7CE8">
      <w:pPr>
        <w:pStyle w:val="Nadpis1"/>
        <w:spacing w:before="0" w:line="360" w:lineRule="auto"/>
        <w:jc w:val="both"/>
      </w:pPr>
      <w:bookmarkStart w:id="5" w:name="_Toc5083052"/>
      <w:r>
        <w:t>VAROVÁNÍ</w:t>
      </w:r>
      <w:bookmarkEnd w:id="5"/>
    </w:p>
    <w:p w14:paraId="5860E0D9" w14:textId="77777777" w:rsidR="00EB6D19" w:rsidRPr="00EB6D19" w:rsidRDefault="00EB6D19" w:rsidP="00EB6D19">
      <w:pPr>
        <w:pStyle w:val="Nadpis2"/>
      </w:pPr>
      <w:bookmarkStart w:id="6" w:name="_Toc5083053"/>
      <w:r>
        <w:t>Obecná varování</w:t>
      </w:r>
      <w:bookmarkEnd w:id="6"/>
    </w:p>
    <w:p w14:paraId="179EBDA0" w14:textId="77777777" w:rsidR="004A7CE8" w:rsidRPr="00C708C2" w:rsidRDefault="004A7CE8" w:rsidP="00C708C2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C708C2">
        <w:rPr>
          <w:rFonts w:ascii="inherit" w:hAnsi="inherit"/>
          <w:sz w:val="20"/>
          <w:szCs w:val="20"/>
        </w:rPr>
        <w:t>NIKDY neinstalujte ani nepoužívejte výrobek dříve, než si přečtete a porozumíte této příručce. Pokud se vám nedaří porozumět varování</w:t>
      </w:r>
      <w:r w:rsidR="00267BF5">
        <w:rPr>
          <w:rFonts w:ascii="inherit" w:hAnsi="inherit"/>
          <w:sz w:val="20"/>
          <w:szCs w:val="20"/>
        </w:rPr>
        <w:t>m</w:t>
      </w:r>
      <w:r w:rsidRPr="00C708C2">
        <w:rPr>
          <w:rFonts w:ascii="inherit" w:hAnsi="inherit"/>
          <w:sz w:val="20"/>
          <w:szCs w:val="20"/>
        </w:rPr>
        <w:t>, upozornění</w:t>
      </w:r>
      <w:r w:rsidR="00267BF5">
        <w:rPr>
          <w:rFonts w:ascii="inherit" w:hAnsi="inherit"/>
          <w:sz w:val="20"/>
          <w:szCs w:val="20"/>
        </w:rPr>
        <w:t>m</w:t>
      </w:r>
      <w:r w:rsidRPr="00C708C2">
        <w:rPr>
          <w:rFonts w:ascii="inherit" w:hAnsi="inherit"/>
          <w:sz w:val="20"/>
          <w:szCs w:val="20"/>
        </w:rPr>
        <w:t xml:space="preserve"> nebo pokynům, obraťte se na obchodního zástupce nebo na technický personá</w:t>
      </w:r>
      <w:r w:rsidR="00267BF5">
        <w:rPr>
          <w:rFonts w:ascii="inherit" w:hAnsi="inherit"/>
          <w:sz w:val="20"/>
          <w:szCs w:val="20"/>
        </w:rPr>
        <w:t>l</w:t>
      </w:r>
      <w:r w:rsidRPr="00C708C2">
        <w:rPr>
          <w:rFonts w:ascii="inherit" w:hAnsi="inherit"/>
          <w:sz w:val="20"/>
          <w:szCs w:val="20"/>
        </w:rPr>
        <w:t xml:space="preserve"> před </w:t>
      </w:r>
      <w:r w:rsidR="00267BF5">
        <w:rPr>
          <w:rFonts w:ascii="inherit" w:hAnsi="inherit"/>
          <w:sz w:val="20"/>
          <w:szCs w:val="20"/>
        </w:rPr>
        <w:t xml:space="preserve">použitím </w:t>
      </w:r>
      <w:r w:rsidRPr="00C708C2">
        <w:rPr>
          <w:rFonts w:ascii="inherit" w:hAnsi="inherit"/>
          <w:sz w:val="20"/>
          <w:szCs w:val="20"/>
        </w:rPr>
        <w:t>tohoto zařízení, aby nedošlo ke zranění nebo poškození výrobku.</w:t>
      </w:r>
    </w:p>
    <w:p w14:paraId="3FDD5FF8" w14:textId="77777777" w:rsidR="00C708C2" w:rsidRPr="00C708C2" w:rsidRDefault="004A7CE8" w:rsidP="003B3040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C708C2">
        <w:rPr>
          <w:rFonts w:ascii="inherit" w:hAnsi="inherit"/>
          <w:sz w:val="20"/>
          <w:szCs w:val="20"/>
        </w:rPr>
        <w:lastRenderedPageBreak/>
        <w:t>Chodítko by mělo být používáno pouze pacienty s dostatečnou motorikou, která zajistí bezpečné použití výrobku</w:t>
      </w:r>
      <w:r w:rsidR="00C708C2" w:rsidRPr="00C708C2">
        <w:rPr>
          <w:rFonts w:ascii="inherit" w:hAnsi="inherit"/>
          <w:sz w:val="20"/>
          <w:szCs w:val="20"/>
        </w:rPr>
        <w:t>.</w:t>
      </w:r>
    </w:p>
    <w:p w14:paraId="2AB77374" w14:textId="77777777" w:rsidR="00C708C2" w:rsidRPr="00C708C2" w:rsidRDefault="00C708C2" w:rsidP="003B3040">
      <w:pPr>
        <w:pStyle w:val="Odstavecseseznamem"/>
        <w:numPr>
          <w:ilvl w:val="0"/>
          <w:numId w:val="19"/>
        </w:numPr>
        <w:spacing w:line="360" w:lineRule="auto"/>
        <w:rPr>
          <w:rFonts w:ascii="inherit" w:hAnsi="inherit"/>
          <w:sz w:val="20"/>
          <w:szCs w:val="20"/>
        </w:rPr>
      </w:pPr>
      <w:r w:rsidRPr="00C708C2">
        <w:rPr>
          <w:rFonts w:ascii="inherit" w:hAnsi="inherit"/>
          <w:sz w:val="20"/>
          <w:szCs w:val="20"/>
        </w:rPr>
        <w:t>Poraďte se s lékařem nebo terapeutem o</w:t>
      </w:r>
      <w:r w:rsidR="00267BF5">
        <w:rPr>
          <w:rFonts w:ascii="inherit" w:hAnsi="inherit"/>
          <w:sz w:val="20"/>
          <w:szCs w:val="20"/>
        </w:rPr>
        <w:t xml:space="preserve">hledně </w:t>
      </w:r>
      <w:r w:rsidRPr="00C708C2">
        <w:rPr>
          <w:rFonts w:ascii="inherit" w:hAnsi="inherit"/>
          <w:sz w:val="20"/>
          <w:szCs w:val="20"/>
        </w:rPr>
        <w:t>správné</w:t>
      </w:r>
      <w:r w:rsidR="00267BF5">
        <w:rPr>
          <w:rFonts w:ascii="inherit" w:hAnsi="inherit"/>
          <w:sz w:val="20"/>
          <w:szCs w:val="20"/>
        </w:rPr>
        <w:t>ho</w:t>
      </w:r>
      <w:r w:rsidRPr="00C708C2">
        <w:rPr>
          <w:rFonts w:ascii="inherit" w:hAnsi="inherit"/>
          <w:sz w:val="20"/>
          <w:szCs w:val="20"/>
        </w:rPr>
        <w:t xml:space="preserve"> nastavení a použití</w:t>
      </w:r>
      <w:r w:rsidR="00267BF5">
        <w:rPr>
          <w:rFonts w:ascii="inherit" w:hAnsi="inherit"/>
          <w:sz w:val="20"/>
          <w:szCs w:val="20"/>
        </w:rPr>
        <w:t>.</w:t>
      </w:r>
    </w:p>
    <w:p w14:paraId="5AD4F21F" w14:textId="77777777" w:rsidR="00C708C2" w:rsidRPr="00C708C2" w:rsidRDefault="00C708C2" w:rsidP="003B3040">
      <w:pPr>
        <w:pStyle w:val="Odstavecseseznamem"/>
        <w:numPr>
          <w:ilvl w:val="0"/>
          <w:numId w:val="19"/>
        </w:numPr>
        <w:spacing w:line="360" w:lineRule="auto"/>
        <w:rPr>
          <w:rFonts w:ascii="inherit" w:hAnsi="inherit"/>
          <w:sz w:val="20"/>
          <w:szCs w:val="20"/>
        </w:rPr>
      </w:pPr>
      <w:r w:rsidRPr="00C708C2">
        <w:rPr>
          <w:rFonts w:ascii="inherit" w:hAnsi="inherit"/>
          <w:sz w:val="20"/>
          <w:szCs w:val="20"/>
        </w:rPr>
        <w:t>Lékař nebo terapeut by měl posoudit</w:t>
      </w:r>
      <w:r w:rsidR="00267BF5">
        <w:rPr>
          <w:rFonts w:ascii="inherit" w:hAnsi="inherit"/>
          <w:sz w:val="20"/>
          <w:szCs w:val="20"/>
        </w:rPr>
        <w:t xml:space="preserve"> správné</w:t>
      </w:r>
      <w:r w:rsidRPr="00C708C2">
        <w:rPr>
          <w:rFonts w:ascii="inherit" w:hAnsi="inherit"/>
          <w:sz w:val="20"/>
          <w:szCs w:val="20"/>
        </w:rPr>
        <w:t xml:space="preserve"> nastavení výšky</w:t>
      </w:r>
      <w:r w:rsidR="00267BF5">
        <w:rPr>
          <w:rFonts w:ascii="inherit" w:hAnsi="inherit"/>
          <w:sz w:val="20"/>
          <w:szCs w:val="20"/>
        </w:rPr>
        <w:t xml:space="preserve"> pro</w:t>
      </w:r>
      <w:r w:rsidRPr="00C708C2">
        <w:rPr>
          <w:rFonts w:ascii="inherit" w:hAnsi="inherit"/>
          <w:sz w:val="20"/>
          <w:szCs w:val="20"/>
        </w:rPr>
        <w:t xml:space="preserve"> maximální podpor</w:t>
      </w:r>
      <w:r w:rsidR="00267BF5">
        <w:rPr>
          <w:rFonts w:ascii="inherit" w:hAnsi="inherit"/>
          <w:sz w:val="20"/>
          <w:szCs w:val="20"/>
        </w:rPr>
        <w:t>u</w:t>
      </w:r>
      <w:r w:rsidRPr="00C708C2">
        <w:rPr>
          <w:rFonts w:ascii="inherit" w:hAnsi="inherit"/>
          <w:sz w:val="20"/>
          <w:szCs w:val="20"/>
        </w:rPr>
        <w:t>, správn</w:t>
      </w:r>
      <w:r w:rsidR="00267BF5">
        <w:rPr>
          <w:rFonts w:ascii="inherit" w:hAnsi="inherit"/>
          <w:sz w:val="20"/>
          <w:szCs w:val="20"/>
        </w:rPr>
        <w:t>é používání brzdy a sestavení chodítka.</w:t>
      </w:r>
    </w:p>
    <w:p w14:paraId="365965F4" w14:textId="77777777" w:rsidR="00C708C2" w:rsidRPr="00C708C2" w:rsidRDefault="00C708C2" w:rsidP="00C708C2">
      <w:pPr>
        <w:pStyle w:val="Odstavecseseznamem"/>
        <w:numPr>
          <w:ilvl w:val="0"/>
          <w:numId w:val="19"/>
        </w:numPr>
        <w:rPr>
          <w:rFonts w:ascii="inherit" w:hAnsi="inherit"/>
          <w:sz w:val="20"/>
          <w:szCs w:val="20"/>
        </w:rPr>
      </w:pPr>
      <w:r w:rsidRPr="00C708C2">
        <w:rPr>
          <w:rFonts w:ascii="inherit" w:hAnsi="inherit"/>
          <w:sz w:val="20"/>
          <w:szCs w:val="20"/>
        </w:rPr>
        <w:t>Chodítka nejsou určena k použití jako samohybné zařízení</w:t>
      </w:r>
    </w:p>
    <w:p w14:paraId="1EA9218D" w14:textId="77777777" w:rsidR="0038072F" w:rsidRDefault="00EB6D19" w:rsidP="00EB6D19">
      <w:pPr>
        <w:pStyle w:val="Nadpis2"/>
      </w:pPr>
      <w:bookmarkStart w:id="7" w:name="_Toc5083054"/>
      <w:r>
        <w:t>Uživatelská varování</w:t>
      </w:r>
      <w:bookmarkEnd w:id="7"/>
    </w:p>
    <w:p w14:paraId="5978E4E1" w14:textId="77777777" w:rsidR="00C708C2" w:rsidRPr="003B3040" w:rsidRDefault="00C708C2" w:rsidP="00267BF5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3B3040">
        <w:rPr>
          <w:rFonts w:ascii="inherit" w:hAnsi="inherit"/>
          <w:sz w:val="20"/>
          <w:szCs w:val="20"/>
        </w:rPr>
        <w:t>Zajistěte</w:t>
      </w:r>
      <w:r w:rsidR="00267BF5">
        <w:rPr>
          <w:rFonts w:ascii="inherit" w:hAnsi="inherit"/>
          <w:sz w:val="20"/>
          <w:szCs w:val="20"/>
        </w:rPr>
        <w:t xml:space="preserve"> správnou funkci kabelu brzdy;</w:t>
      </w:r>
    </w:p>
    <w:p w14:paraId="0DF17098" w14:textId="77777777" w:rsidR="00C708C2" w:rsidRPr="003B3040" w:rsidRDefault="00C708C2" w:rsidP="00267BF5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3B3040">
        <w:rPr>
          <w:rFonts w:ascii="inherit" w:hAnsi="inherit"/>
          <w:sz w:val="20"/>
          <w:szCs w:val="20"/>
        </w:rPr>
        <w:t xml:space="preserve">Ověřte správnou funkci brzdy po každém nastavení výšky, abyste zabránili </w:t>
      </w:r>
      <w:r w:rsidR="00267BF5">
        <w:rPr>
          <w:rFonts w:ascii="inherit" w:hAnsi="inherit"/>
          <w:sz w:val="20"/>
          <w:szCs w:val="20"/>
        </w:rPr>
        <w:t>deformaci</w:t>
      </w:r>
      <w:r w:rsidRPr="003B3040">
        <w:rPr>
          <w:rFonts w:ascii="inherit" w:hAnsi="inherit"/>
          <w:sz w:val="20"/>
          <w:szCs w:val="20"/>
        </w:rPr>
        <w:t xml:space="preserve"> kabelu;</w:t>
      </w:r>
    </w:p>
    <w:p w14:paraId="02793D6E" w14:textId="77777777" w:rsidR="00C708C2" w:rsidRPr="003B3040" w:rsidRDefault="00C708C2" w:rsidP="00267BF5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3B3040">
        <w:rPr>
          <w:rFonts w:ascii="inherit" w:hAnsi="inherit"/>
          <w:sz w:val="20"/>
          <w:szCs w:val="20"/>
        </w:rPr>
        <w:t>Porušení těchto základních pravidel může způsobit osobní újmu;</w:t>
      </w:r>
    </w:p>
    <w:p w14:paraId="00366002" w14:textId="77777777" w:rsidR="00C708C2" w:rsidRPr="003B3040" w:rsidRDefault="00C708C2" w:rsidP="00267BF5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3B3040">
        <w:rPr>
          <w:rFonts w:ascii="inherit" w:hAnsi="inherit"/>
          <w:sz w:val="20"/>
          <w:szCs w:val="20"/>
        </w:rPr>
        <w:t>Chodítko lze používat pouze na tvrdém a rovnoměrném povrchu. Nepoužívejte výrobek pro stoupání na schodech;</w:t>
      </w:r>
    </w:p>
    <w:p w14:paraId="410DE54D" w14:textId="77777777" w:rsidR="00C708C2" w:rsidRPr="003B3040" w:rsidRDefault="00C708C2" w:rsidP="00267BF5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3B3040">
        <w:rPr>
          <w:rFonts w:ascii="inherit" w:hAnsi="inherit"/>
          <w:sz w:val="20"/>
          <w:szCs w:val="20"/>
        </w:rPr>
        <w:t xml:space="preserve">Udržujte rovnováhu </w:t>
      </w:r>
      <w:r w:rsidR="00267BF5">
        <w:rPr>
          <w:rFonts w:ascii="inherit" w:hAnsi="inherit"/>
          <w:sz w:val="20"/>
          <w:szCs w:val="20"/>
        </w:rPr>
        <w:t>vždy pomocí obou madel,</w:t>
      </w:r>
    </w:p>
    <w:p w14:paraId="4D228AC4" w14:textId="77777777" w:rsidR="00C708C2" w:rsidRPr="003B3040" w:rsidRDefault="003B3040" w:rsidP="00267BF5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3B3040">
        <w:rPr>
          <w:rFonts w:ascii="inherit" w:hAnsi="inherit"/>
          <w:sz w:val="20"/>
          <w:szCs w:val="20"/>
        </w:rPr>
        <w:t>Věnujte zvláštní pozornosti při pohybu po vlhkém, ledovém nebo zasněženém povrchu;</w:t>
      </w:r>
    </w:p>
    <w:p w14:paraId="41325BF1" w14:textId="77777777" w:rsidR="003B3040" w:rsidRPr="003B3040" w:rsidRDefault="003B3040" w:rsidP="00267BF5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3B3040">
        <w:rPr>
          <w:rFonts w:ascii="inherit" w:hAnsi="inherit"/>
          <w:sz w:val="20"/>
          <w:szCs w:val="20"/>
        </w:rPr>
        <w:t>Výrobek nepřetěžujte;</w:t>
      </w:r>
    </w:p>
    <w:p w14:paraId="43FE051E" w14:textId="77777777" w:rsidR="003B3040" w:rsidRPr="003B3040" w:rsidRDefault="003B3040" w:rsidP="00267BF5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3B3040">
        <w:rPr>
          <w:rFonts w:ascii="inherit" w:hAnsi="inherit"/>
          <w:sz w:val="20"/>
          <w:szCs w:val="20"/>
        </w:rPr>
        <w:t>Nepoužívejte sedačku pro přepravu osob nebo majetku, sedadlo je určeno pouze pro uživatele a s aktivovanou parkovací brzdou;</w:t>
      </w:r>
    </w:p>
    <w:p w14:paraId="03171E34" w14:textId="77777777" w:rsidR="003B3040" w:rsidRPr="003B3040" w:rsidRDefault="003B3040" w:rsidP="00267BF5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3B3040">
        <w:rPr>
          <w:rFonts w:ascii="inherit" w:hAnsi="inherit"/>
          <w:sz w:val="20"/>
          <w:szCs w:val="20"/>
        </w:rPr>
        <w:t>Všechna kola musí být během používání stále v kontaktu s povrchem, aby se zajistilo správné vyvážení chodítka a maximální bezpečnost;</w:t>
      </w:r>
    </w:p>
    <w:p w14:paraId="28EE5D40" w14:textId="77777777" w:rsidR="003B3040" w:rsidRDefault="003B3040" w:rsidP="00267BF5">
      <w:pPr>
        <w:pStyle w:val="Odstavecseseznamem"/>
        <w:numPr>
          <w:ilvl w:val="0"/>
          <w:numId w:val="20"/>
        </w:numPr>
        <w:spacing w:after="120" w:line="360" w:lineRule="auto"/>
        <w:jc w:val="both"/>
        <w:rPr>
          <w:rFonts w:ascii="inherit" w:hAnsi="inherit"/>
          <w:sz w:val="20"/>
          <w:szCs w:val="20"/>
        </w:rPr>
      </w:pPr>
      <w:r w:rsidRPr="003B3040">
        <w:rPr>
          <w:rFonts w:ascii="inherit" w:hAnsi="inherit"/>
          <w:sz w:val="20"/>
          <w:szCs w:val="20"/>
        </w:rPr>
        <w:t>Před použitím sedadla musí být chodítko zabrzděno.</w:t>
      </w:r>
    </w:p>
    <w:p w14:paraId="5B7C281B" w14:textId="77777777" w:rsidR="00667D7C" w:rsidRPr="00667D7C" w:rsidRDefault="00667D7C" w:rsidP="00667D7C">
      <w:pPr>
        <w:spacing w:after="0" w:line="360" w:lineRule="auto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POZNÁMKA: Pokud je chodítko používáno jako opora v nehybné poloze, musí být ruční brzda zablokována.</w:t>
      </w:r>
    </w:p>
    <w:p w14:paraId="451B8C12" w14:textId="77777777" w:rsidR="003B3040" w:rsidRDefault="003B3040" w:rsidP="003B3040">
      <w:pPr>
        <w:pStyle w:val="Nadpis2"/>
        <w:spacing w:before="0"/>
      </w:pPr>
      <w:bookmarkStart w:id="8" w:name="_Toc5083055"/>
      <w:r>
        <w:t>Nosnost:</w:t>
      </w:r>
      <w:bookmarkEnd w:id="8"/>
    </w:p>
    <w:p w14:paraId="4CD95678" w14:textId="77777777" w:rsidR="003B3040" w:rsidRPr="00EB6D19" w:rsidRDefault="003B3040" w:rsidP="00EB6D19">
      <w:pPr>
        <w:pStyle w:val="Odstavecseseznamem"/>
        <w:numPr>
          <w:ilvl w:val="0"/>
          <w:numId w:val="28"/>
        </w:numPr>
        <w:spacing w:line="360" w:lineRule="auto"/>
        <w:rPr>
          <w:rFonts w:ascii="inherit" w:hAnsi="inherit"/>
          <w:sz w:val="20"/>
          <w:szCs w:val="20"/>
        </w:rPr>
      </w:pPr>
      <w:r w:rsidRPr="00EB6D19">
        <w:rPr>
          <w:rFonts w:ascii="inherit" w:hAnsi="inherit"/>
          <w:sz w:val="20"/>
          <w:szCs w:val="20"/>
        </w:rPr>
        <w:t>Chodítko může být používáno osobou s hmotností do 136 kg, VČETNĚ tašky;</w:t>
      </w:r>
    </w:p>
    <w:p w14:paraId="48D721D2" w14:textId="77777777" w:rsidR="003B3040" w:rsidRPr="00EB6D19" w:rsidRDefault="003B3040" w:rsidP="00EB6D19">
      <w:pPr>
        <w:pStyle w:val="Odstavecseseznamem"/>
        <w:numPr>
          <w:ilvl w:val="0"/>
          <w:numId w:val="28"/>
        </w:numPr>
        <w:spacing w:line="360" w:lineRule="auto"/>
        <w:rPr>
          <w:rFonts w:ascii="inherit" w:hAnsi="inherit"/>
          <w:sz w:val="20"/>
          <w:szCs w:val="20"/>
        </w:rPr>
      </w:pPr>
      <w:r w:rsidRPr="00EB6D19">
        <w:rPr>
          <w:rFonts w:ascii="inherit" w:hAnsi="inherit"/>
          <w:sz w:val="20"/>
          <w:szCs w:val="20"/>
        </w:rPr>
        <w:t>Max. nosnost tašky je 5 kg.</w:t>
      </w:r>
    </w:p>
    <w:p w14:paraId="0039422B" w14:textId="77777777" w:rsidR="00667D7C" w:rsidRDefault="009158A5" w:rsidP="00667D7C">
      <w:pPr>
        <w:pStyle w:val="Nadpis1"/>
        <w:spacing w:line="360" w:lineRule="auto"/>
      </w:pPr>
      <w:bookmarkStart w:id="9" w:name="_Toc5083056"/>
      <w:r w:rsidRPr="00DB7E6D">
        <w:t xml:space="preserve">UPOZORNĚNÍ </w:t>
      </w:r>
      <w:r w:rsidR="00667D7C">
        <w:t>PRO SESTAVENÍ</w:t>
      </w:r>
      <w:bookmarkEnd w:id="9"/>
    </w:p>
    <w:p w14:paraId="2FAC2D09" w14:textId="77777777" w:rsidR="00667D7C" w:rsidRPr="009F470F" w:rsidRDefault="007A6756" w:rsidP="009F470F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Ověřte, že jsou obě rukojetí správně zasunuty do rámu;</w:t>
      </w:r>
    </w:p>
    <w:p w14:paraId="7B487BB3" w14:textId="77777777" w:rsidR="00667D7C" w:rsidRPr="009F470F" w:rsidRDefault="007A6756" w:rsidP="009F470F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Ověřte, že jsou o</w:t>
      </w:r>
      <w:r w:rsidR="00667D7C" w:rsidRPr="009F470F">
        <w:rPr>
          <w:rFonts w:ascii="inherit" w:hAnsi="inherit"/>
          <w:sz w:val="20"/>
          <w:szCs w:val="20"/>
        </w:rPr>
        <w:t xml:space="preserve">bě rukojetí bezpečně zajištěny v hlavní opěrné části křídlovými maticemi </w:t>
      </w:r>
    </w:p>
    <w:p w14:paraId="26BE6A8E" w14:textId="77777777" w:rsidR="00667D7C" w:rsidRPr="009F470F" w:rsidRDefault="00667D7C" w:rsidP="009F470F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9F470F">
        <w:rPr>
          <w:rFonts w:ascii="inherit" w:hAnsi="inherit"/>
          <w:sz w:val="20"/>
          <w:szCs w:val="20"/>
        </w:rPr>
        <w:t>Abyste se vyhnuli poškození konstrukce, nezavěšujte nic na rám chodítka. Poškození rámu může způsobit zranění;</w:t>
      </w:r>
    </w:p>
    <w:p w14:paraId="720A8C0B" w14:textId="77777777" w:rsidR="00667D7C" w:rsidRPr="009F470F" w:rsidRDefault="00667D7C" w:rsidP="009F470F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9F470F">
        <w:rPr>
          <w:rFonts w:ascii="inherit" w:hAnsi="inherit"/>
          <w:sz w:val="20"/>
          <w:szCs w:val="20"/>
        </w:rPr>
        <w:t>Při rozkládání a skládání chodítka dbejte opatrnost</w:t>
      </w:r>
      <w:r w:rsidR="007A6756">
        <w:rPr>
          <w:rFonts w:ascii="inherit" w:hAnsi="inherit"/>
          <w:sz w:val="20"/>
          <w:szCs w:val="20"/>
        </w:rPr>
        <w:t>i</w:t>
      </w:r>
      <w:r w:rsidRPr="009F470F">
        <w:rPr>
          <w:rFonts w:ascii="inherit" w:hAnsi="inherit"/>
          <w:sz w:val="20"/>
          <w:szCs w:val="20"/>
        </w:rPr>
        <w:t xml:space="preserve"> a zamezte zachycení prstů anebo oděvu.</w:t>
      </w:r>
    </w:p>
    <w:p w14:paraId="19AB869F" w14:textId="77777777" w:rsidR="00B7253B" w:rsidRDefault="00B7253B" w:rsidP="00AC3A47">
      <w:pPr>
        <w:pStyle w:val="Nadpis1"/>
        <w:spacing w:line="360" w:lineRule="auto"/>
      </w:pPr>
      <w:bookmarkStart w:id="10" w:name="_Toc5083057"/>
      <w:r>
        <w:t>PŘED POUŽITÍM:</w:t>
      </w:r>
      <w:bookmarkEnd w:id="10"/>
    </w:p>
    <w:p w14:paraId="645848B8" w14:textId="77777777" w:rsidR="00B7253B" w:rsidRPr="00B7253B" w:rsidRDefault="00B7253B" w:rsidP="00B7253B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B7253B">
        <w:rPr>
          <w:rFonts w:ascii="inherit" w:hAnsi="inherit"/>
          <w:sz w:val="20"/>
          <w:szCs w:val="20"/>
        </w:rPr>
        <w:t>Zkontrolujte, zda všechny části chodítka jsou bezpečně zajištěny;</w:t>
      </w:r>
    </w:p>
    <w:p w14:paraId="29EA9535" w14:textId="77777777" w:rsidR="00B7253B" w:rsidRPr="00B7253B" w:rsidRDefault="00B7253B" w:rsidP="00B7253B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B7253B">
        <w:rPr>
          <w:rFonts w:ascii="inherit" w:hAnsi="inherit"/>
          <w:sz w:val="20"/>
          <w:szCs w:val="20"/>
        </w:rPr>
        <w:t>Zkontrolujte, za jsou všechny šrouby utažené;</w:t>
      </w:r>
    </w:p>
    <w:p w14:paraId="276AEE58" w14:textId="77777777" w:rsidR="00B7253B" w:rsidRPr="00B7253B" w:rsidRDefault="00B7253B" w:rsidP="00B7253B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B7253B">
        <w:rPr>
          <w:rFonts w:ascii="inherit" w:hAnsi="inherit"/>
          <w:sz w:val="20"/>
          <w:szCs w:val="20"/>
        </w:rPr>
        <w:t>Ujistěte se, že sedátko je řádně zajištěno;</w:t>
      </w:r>
    </w:p>
    <w:p w14:paraId="4C466283" w14:textId="77777777" w:rsidR="00B7253B" w:rsidRPr="00B7253B" w:rsidRDefault="00B7253B" w:rsidP="00B7253B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B7253B">
        <w:rPr>
          <w:rFonts w:ascii="inherit" w:hAnsi="inherit"/>
          <w:sz w:val="20"/>
          <w:szCs w:val="20"/>
        </w:rPr>
        <w:t>Zkontrolujte, zda je sedadlo správně zasunuto;</w:t>
      </w:r>
    </w:p>
    <w:p w14:paraId="433E0C70" w14:textId="77777777" w:rsidR="00B7253B" w:rsidRDefault="00B7253B" w:rsidP="00B7253B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B7253B">
        <w:rPr>
          <w:rFonts w:ascii="inherit" w:hAnsi="inherit"/>
          <w:sz w:val="20"/>
          <w:szCs w:val="20"/>
        </w:rPr>
        <w:t>Zkontrolujte správnou funkci obou brzd.</w:t>
      </w:r>
    </w:p>
    <w:p w14:paraId="3E6FFE27" w14:textId="77777777" w:rsidR="00B7253B" w:rsidRDefault="00B7253B" w:rsidP="009F470F">
      <w:pPr>
        <w:pStyle w:val="Nadpis1"/>
        <w:spacing w:line="360" w:lineRule="auto"/>
      </w:pPr>
      <w:bookmarkStart w:id="11" w:name="_Toc5083058"/>
      <w:r>
        <w:t>INSTRUKCE K SESTAVENÍ</w:t>
      </w:r>
      <w:bookmarkEnd w:id="11"/>
    </w:p>
    <w:p w14:paraId="6975F35C" w14:textId="77777777" w:rsidR="00B7253B" w:rsidRDefault="00B7253B" w:rsidP="00B7253B">
      <w:pPr>
        <w:pStyle w:val="Nadpis2"/>
      </w:pPr>
      <w:bookmarkStart w:id="12" w:name="_Toc5083059"/>
      <w:r>
        <w:t>Před sestavením</w:t>
      </w:r>
      <w:bookmarkEnd w:id="12"/>
      <w:r>
        <w:t xml:space="preserve"> </w:t>
      </w:r>
    </w:p>
    <w:p w14:paraId="6D05FE6A" w14:textId="77777777" w:rsidR="00B7253B" w:rsidRDefault="00B7253B" w:rsidP="00B7253B">
      <w:pPr>
        <w:spacing w:after="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 xml:space="preserve">Rozbalte produkt a zkontrolujte, zda během přepravy nedošlo k žádnému poškození. V případě, že je chodítko poškozeno, kontaktujte nejbližšího prodejce. </w:t>
      </w:r>
    </w:p>
    <w:p w14:paraId="19FE1B3A" w14:textId="77777777" w:rsidR="007A6756" w:rsidRDefault="007A6756" w:rsidP="007A6756">
      <w:pPr>
        <w:pStyle w:val="Nadpis2"/>
      </w:pPr>
      <w:bookmarkStart w:id="13" w:name="_Toc5083060"/>
      <w:r>
        <w:t>Montáž</w:t>
      </w:r>
      <w:bookmarkEnd w:id="13"/>
    </w:p>
    <w:p w14:paraId="44673725" w14:textId="77777777" w:rsidR="007A6756" w:rsidRDefault="007A6756" w:rsidP="007A6756">
      <w:pPr>
        <w:spacing w:after="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Uvolněte bezpečnostní pojistku</w:t>
      </w:r>
    </w:p>
    <w:p w14:paraId="46BB4D53" w14:textId="77777777" w:rsidR="007A6756" w:rsidRDefault="007A6756" w:rsidP="007A6756">
      <w:pPr>
        <w:spacing w:after="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Při prvním sestavení chodítka je třeba namontovat rukojetí na určené místo na rámu chodítka.</w:t>
      </w:r>
    </w:p>
    <w:p w14:paraId="1A923C8D" w14:textId="77777777" w:rsidR="007A6756" w:rsidRDefault="007A6756" w:rsidP="007A6756">
      <w:pPr>
        <w:spacing w:after="0" w:line="360" w:lineRule="auto"/>
        <w:rPr>
          <w:rFonts w:ascii="inherit" w:hAnsi="inheri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91A03" wp14:editId="4AB7D33C">
                <wp:simplePos x="0" y="0"/>
                <wp:positionH relativeFrom="margin">
                  <wp:posOffset>1442720</wp:posOffset>
                </wp:positionH>
                <wp:positionV relativeFrom="paragraph">
                  <wp:posOffset>851535</wp:posOffset>
                </wp:positionV>
                <wp:extent cx="4667250" cy="131445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68FDA4" w14:textId="77777777" w:rsidR="007A6756" w:rsidRDefault="007A6756" w:rsidP="007A6756">
                            <w:pPr>
                              <w:spacing w:after="0" w:line="360" w:lineRule="auto"/>
                              <w:rPr>
                                <w:rFonts w:ascii="inherit" w:hAnsi="inherit" w:cs="Arial"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Zdraznn"/>
                                <w:rFonts w:ascii="inherit" w:hAnsi="inherit" w:cs="Arial"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shd w:val="clear" w:color="auto" w:fill="FFFFFF"/>
                              </w:rPr>
                              <w:t>Zatlačte na sedačku směrem dolů až dosáhnete krajní polohy, poté zajistěte pojistkou.</w:t>
                            </w:r>
                            <w:r>
                              <w:rPr>
                                <w:rFonts w:ascii="inherit" w:hAnsi="inherit" w:cs="Arial"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91A03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113.6pt;margin-top:67.05pt;width:367.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" fillcolor="white [3201]" stroked="f" strokeweight=".5pt">
                <v:textbox>
                  <w:txbxContent>
                    <w:p w14:paraId="5C68FDA4" w14:textId="77777777" w:rsidR="007A6756" w:rsidRDefault="007A6756" w:rsidP="007A6756">
                      <w:pPr>
                        <w:spacing w:after="0" w:line="360" w:lineRule="auto"/>
                        <w:rPr>
                          <w:rFonts w:ascii="inherit" w:hAnsi="inherit" w:cs="Arial"/>
                          <w:bCs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Style w:val="Zdraznn"/>
                          <w:rFonts w:ascii="inherit" w:hAnsi="inherit" w:cs="Arial"/>
                          <w:bCs/>
                          <w:i w:val="0"/>
                          <w:iCs w:val="0"/>
                          <w:sz w:val="20"/>
                          <w:szCs w:val="20"/>
                          <w:shd w:val="clear" w:color="auto" w:fill="FFFFFF"/>
                        </w:rPr>
                        <w:t>Zatlačte na sedačku směrem dolů až dosáhnete krajní polohy, poté zajistěte pojistkou.</w:t>
                      </w:r>
                      <w:r>
                        <w:rPr>
                          <w:rFonts w:ascii="inherit" w:hAnsi="inherit" w:cs="Arial"/>
                          <w:bCs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inherit" w:hAnsi="inherit"/>
          <w:noProof/>
          <w:sz w:val="20"/>
          <w:szCs w:val="20"/>
        </w:rPr>
        <w:drawing>
          <wp:inline distT="0" distB="0" distL="0" distR="0" wp14:anchorId="092F7F3D" wp14:editId="7E3103D9">
            <wp:extent cx="1257300" cy="2162175"/>
            <wp:effectExtent l="0" t="0" r="0" b="9525"/>
            <wp:docPr id="3" name="Obrázek 3" descr="Obsah obrázku interiér, zeď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interiér, zeď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9A710" w14:textId="77777777" w:rsidR="007A6756" w:rsidRPr="002C392E" w:rsidRDefault="007A6756" w:rsidP="007A675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DA0FB" wp14:editId="3DC58E7B">
                <wp:simplePos x="0" y="0"/>
                <wp:positionH relativeFrom="margin">
                  <wp:posOffset>3176270</wp:posOffset>
                </wp:positionH>
                <wp:positionV relativeFrom="paragraph">
                  <wp:posOffset>383540</wp:posOffset>
                </wp:positionV>
                <wp:extent cx="2933700" cy="100965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574A51" w14:textId="77777777" w:rsidR="007A6756" w:rsidRDefault="007A6756" w:rsidP="007A675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inherit" w:hAnsi="inherit" w:cs="Interstate-Regul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herit" w:hAnsi="inherit" w:cs="Interstate-Regula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Pootočte rámem kola a zajistěte ve správné pozici páčkou dle obrázku.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DA0FB" id="Textové pole 8" o:spid="_x0000_s1027" type="#_x0000_t202" style="position:absolute;margin-left:250.1pt;margin-top:30.2pt;width:231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" fillcolor="white [3201]" stroked="f" strokeweight=".5pt">
                <v:textbox>
                  <w:txbxContent>
                    <w:p w14:paraId="5B574A51" w14:textId="77777777" w:rsidR="007A6756" w:rsidRDefault="007A6756" w:rsidP="007A675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inherit" w:hAnsi="inherit" w:cs="Interstate-Regular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inherit" w:hAnsi="inherit" w:cs="Interstate-Regular"/>
                          <w:color w:val="000000" w:themeColor="text1"/>
                          <w:sz w:val="20"/>
                          <w:szCs w:val="20"/>
                        </w:rPr>
                        <w:t xml:space="preserve">Pootočte rámem kola a zajistěte ve správné pozici páčkou dle obrázku.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F7E198" wp14:editId="6696670C">
            <wp:extent cx="3209925" cy="1524000"/>
            <wp:effectExtent l="0" t="0" r="9525" b="0"/>
            <wp:docPr id="1" name="Obrázek 1" descr="Obsah obrázku interiér, ventilace, zařízení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Obsah obrázku interiér, ventilace, zařízení,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B19B6" w14:textId="77777777" w:rsidR="007A6756" w:rsidRDefault="007A6756" w:rsidP="00B7253B">
      <w:pPr>
        <w:spacing w:after="0" w:line="360" w:lineRule="auto"/>
        <w:jc w:val="both"/>
        <w:rPr>
          <w:rFonts w:ascii="inherit" w:hAnsi="inherit"/>
          <w:sz w:val="20"/>
          <w:szCs w:val="20"/>
        </w:rPr>
      </w:pPr>
    </w:p>
    <w:p w14:paraId="23160933" w14:textId="77777777" w:rsidR="00B7253B" w:rsidRPr="00B7253B" w:rsidRDefault="00B7253B" w:rsidP="00B57B63">
      <w:pPr>
        <w:pStyle w:val="Nadpis2"/>
      </w:pPr>
      <w:bookmarkStart w:id="14" w:name="_Toc5083061"/>
      <w:r>
        <w:t>Složení chodítka:</w:t>
      </w:r>
      <w:bookmarkEnd w:id="14"/>
    </w:p>
    <w:p w14:paraId="1F6BB834" w14:textId="77777777" w:rsidR="00B7253B" w:rsidRDefault="00B57B63" w:rsidP="00667D7C">
      <w:pPr>
        <w:spacing w:after="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 xml:space="preserve">Složte chodítko uchopením sedačky a </w:t>
      </w:r>
      <w:r w:rsidR="007A6756">
        <w:rPr>
          <w:rFonts w:ascii="inherit" w:hAnsi="inherit"/>
          <w:sz w:val="20"/>
          <w:szCs w:val="20"/>
        </w:rPr>
        <w:t>nad</w:t>
      </w:r>
      <w:r>
        <w:rPr>
          <w:rFonts w:ascii="inherit" w:hAnsi="inherit"/>
          <w:sz w:val="20"/>
          <w:szCs w:val="20"/>
        </w:rPr>
        <w:t xml:space="preserve">zvednutím </w:t>
      </w:r>
      <w:r w:rsidR="007A6756">
        <w:rPr>
          <w:rFonts w:ascii="inherit" w:hAnsi="inherit"/>
          <w:sz w:val="20"/>
          <w:szCs w:val="20"/>
        </w:rPr>
        <w:t>sedačky.</w:t>
      </w:r>
    </w:p>
    <w:p w14:paraId="02867218" w14:textId="77777777" w:rsidR="00C657D9" w:rsidRDefault="00C657D9" w:rsidP="00E74FEF">
      <w:pPr>
        <w:pStyle w:val="Nadpis2"/>
      </w:pPr>
      <w:bookmarkStart w:id="15" w:name="_Toc5083062"/>
      <w:r>
        <w:t>Instalace madel a nastavení madel</w:t>
      </w:r>
      <w:bookmarkEnd w:id="15"/>
    </w:p>
    <w:p w14:paraId="7AD3B5F7" w14:textId="77777777" w:rsidR="003C2AA6" w:rsidRDefault="007A6756" w:rsidP="00667D7C">
      <w:pPr>
        <w:spacing w:after="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Vložte rukojetí do rámu a zajistěte je ve správné pozici. Pomocí knoflíků můžete nastavit požadovanou výšku dle preferencí uživatele.</w:t>
      </w:r>
    </w:p>
    <w:p w14:paraId="26F8CE3A" w14:textId="77777777" w:rsidR="007A6756" w:rsidRDefault="007A6756" w:rsidP="00667D7C">
      <w:pPr>
        <w:spacing w:after="0" w:line="360" w:lineRule="auto"/>
        <w:jc w:val="both"/>
        <w:rPr>
          <w:rFonts w:ascii="inherit" w:hAnsi="inherit" w:cs="Arial"/>
          <w:sz w:val="20"/>
          <w:szCs w:val="20"/>
          <w:shd w:val="clear" w:color="auto" w:fill="FFFFFF"/>
        </w:rPr>
      </w:pPr>
      <w:r>
        <w:rPr>
          <w:rFonts w:ascii="inherit" w:hAnsi="inherit"/>
          <w:sz w:val="20"/>
          <w:szCs w:val="20"/>
        </w:rPr>
        <w:t>Upozornění: Rukojetí by měly být nastaveny do výšky zápěstí při vzpřímeném postoji s rukama podél těla. To zajistí správný úhel rukou cca 20°-30°.</w:t>
      </w:r>
    </w:p>
    <w:p w14:paraId="320C5D77" w14:textId="77777777" w:rsidR="008C13AD" w:rsidRDefault="007A6756" w:rsidP="00E74FEF">
      <w:pPr>
        <w:pStyle w:val="Nadpis2"/>
        <w:rPr>
          <w:shd w:val="clear" w:color="auto" w:fill="FFFFFF"/>
        </w:rPr>
      </w:pPr>
      <w:bookmarkStart w:id="16" w:name="_Toc5083063"/>
      <w:r>
        <w:rPr>
          <w:shd w:val="clear" w:color="auto" w:fill="FFFFFF"/>
        </w:rPr>
        <w:t>Upevnění</w:t>
      </w:r>
      <w:r w:rsidR="008C13AD">
        <w:rPr>
          <w:shd w:val="clear" w:color="auto" w:fill="FFFFFF"/>
        </w:rPr>
        <w:t xml:space="preserve"> tašky</w:t>
      </w:r>
      <w:bookmarkEnd w:id="16"/>
    </w:p>
    <w:p w14:paraId="1F6A6245" w14:textId="77777777" w:rsidR="008C13AD" w:rsidRDefault="008C13AD" w:rsidP="009F470F">
      <w:pPr>
        <w:spacing w:after="120" w:line="360" w:lineRule="auto"/>
        <w:jc w:val="both"/>
        <w:rPr>
          <w:rFonts w:ascii="inherit" w:hAnsi="inherit" w:cs="Arial"/>
          <w:sz w:val="20"/>
          <w:szCs w:val="20"/>
          <w:shd w:val="clear" w:color="auto" w:fill="FFFFFF"/>
        </w:rPr>
      </w:pPr>
      <w:r>
        <w:rPr>
          <w:rFonts w:ascii="inherit" w:hAnsi="inherit" w:cs="Arial"/>
          <w:sz w:val="20"/>
          <w:szCs w:val="20"/>
          <w:shd w:val="clear" w:color="auto" w:fill="FFFFFF"/>
        </w:rPr>
        <w:t>Zavěste tašku na sedadlo a uchyťte pomocí suchých zipů na chodítku.</w:t>
      </w:r>
    </w:p>
    <w:p w14:paraId="4F48A1D8" w14:textId="77777777" w:rsidR="008C13AD" w:rsidRDefault="008C13AD" w:rsidP="00667D7C">
      <w:pPr>
        <w:spacing w:after="0" w:line="360" w:lineRule="auto"/>
        <w:jc w:val="both"/>
        <w:rPr>
          <w:rFonts w:ascii="inherit" w:hAnsi="inherit" w:cs="Arial"/>
          <w:sz w:val="20"/>
          <w:szCs w:val="20"/>
          <w:shd w:val="clear" w:color="auto" w:fill="FFFFFF"/>
        </w:rPr>
      </w:pPr>
      <w:r>
        <w:rPr>
          <w:rFonts w:ascii="inherit" w:hAnsi="inherit" w:cs="Arial"/>
          <w:sz w:val="20"/>
          <w:szCs w:val="20"/>
          <w:shd w:val="clear" w:color="auto" w:fill="FFFFFF"/>
        </w:rPr>
        <w:t>U</w:t>
      </w:r>
      <w:r w:rsidR="00E74FEF">
        <w:rPr>
          <w:rFonts w:ascii="inherit" w:hAnsi="inherit" w:cs="Arial"/>
          <w:sz w:val="20"/>
          <w:szCs w:val="20"/>
          <w:shd w:val="clear" w:color="auto" w:fill="FFFFFF"/>
        </w:rPr>
        <w:t xml:space="preserve">POZORNĚNÍ: </w:t>
      </w:r>
      <w:r>
        <w:rPr>
          <w:rFonts w:ascii="inherit" w:hAnsi="inherit" w:cs="Arial"/>
          <w:sz w:val="20"/>
          <w:szCs w:val="20"/>
          <w:shd w:val="clear" w:color="auto" w:fill="FFFFFF"/>
        </w:rPr>
        <w:t xml:space="preserve">Používejte tašku pouze pro drobné předměty. Nepřeplňujte košík, aby nedošlo k nerovnováze a riziku převrácení. </w:t>
      </w:r>
      <w:r w:rsidR="007A6756">
        <w:rPr>
          <w:rFonts w:ascii="inherit" w:hAnsi="inherit" w:cs="Arial"/>
          <w:sz w:val="20"/>
          <w:szCs w:val="20"/>
          <w:shd w:val="clear" w:color="auto" w:fill="FFFFFF"/>
        </w:rPr>
        <w:t>Nosnost tašky je 5 kg.</w:t>
      </w:r>
    </w:p>
    <w:p w14:paraId="3075BED3" w14:textId="77777777" w:rsidR="007A6756" w:rsidRDefault="007A6756" w:rsidP="007A6756">
      <w:pPr>
        <w:pStyle w:val="Nadpis2"/>
        <w:rPr>
          <w:shd w:val="clear" w:color="auto" w:fill="FFFFFF"/>
        </w:rPr>
      </w:pPr>
      <w:bookmarkStart w:id="17" w:name="_Toc5083064"/>
      <w:r>
        <w:rPr>
          <w:shd w:val="clear" w:color="auto" w:fill="FFFFFF"/>
        </w:rPr>
        <w:t>Upevnění zádové opěrky</w:t>
      </w:r>
      <w:bookmarkEnd w:id="17"/>
    </w:p>
    <w:p w14:paraId="302678F3" w14:textId="77777777" w:rsidR="007A6756" w:rsidRPr="007A6756" w:rsidRDefault="007A6756" w:rsidP="007A6756">
      <w:pPr>
        <w:rPr>
          <w:rFonts w:ascii="inherit" w:hAnsi="inherit"/>
          <w:sz w:val="20"/>
          <w:szCs w:val="20"/>
        </w:rPr>
      </w:pPr>
      <w:r w:rsidRPr="007A6756">
        <w:rPr>
          <w:rFonts w:ascii="inherit" w:hAnsi="inherit"/>
          <w:sz w:val="20"/>
          <w:szCs w:val="20"/>
        </w:rPr>
        <w:t>Vsuňte opěrku do předem připravených plastových držáků v rámu chodítka.</w:t>
      </w:r>
    </w:p>
    <w:p w14:paraId="4EFAC304" w14:textId="77777777" w:rsidR="008C13AD" w:rsidRDefault="008C13AD" w:rsidP="00E74FEF">
      <w:pPr>
        <w:pStyle w:val="Nadpis2"/>
      </w:pPr>
      <w:bookmarkStart w:id="18" w:name="_Toc5083065"/>
      <w:r>
        <w:t>Sedadlo</w:t>
      </w:r>
      <w:bookmarkEnd w:id="18"/>
      <w:r>
        <w:t xml:space="preserve"> </w:t>
      </w:r>
    </w:p>
    <w:p w14:paraId="051847E6" w14:textId="77777777" w:rsidR="008C13AD" w:rsidRDefault="008C13AD" w:rsidP="00667D7C">
      <w:pPr>
        <w:spacing w:after="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Před usednutím umístěte chodítko na rovnou a pevnou plochu a pak zajistěte brzdy. Ujistěte se, zda jsou brzdy pevně zajištěny a zda je chodítko ve stabilní poloze.</w:t>
      </w:r>
    </w:p>
    <w:p w14:paraId="0F8AF50F" w14:textId="77777777" w:rsidR="008C13AD" w:rsidRDefault="001F7EE3" w:rsidP="00667D7C">
      <w:pPr>
        <w:spacing w:after="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UPOZORNĚNÍ:</w:t>
      </w:r>
      <w:r w:rsidR="008C13AD">
        <w:rPr>
          <w:rFonts w:ascii="inherit" w:hAnsi="inherit"/>
          <w:sz w:val="20"/>
          <w:szCs w:val="20"/>
        </w:rPr>
        <w:t xml:space="preserve"> Sedněte tak, abyste rozložili váhu na sedadlo. Nesedejte pouze k jedné straně. </w:t>
      </w:r>
    </w:p>
    <w:p w14:paraId="60E80442" w14:textId="77777777" w:rsidR="00C47CB0" w:rsidRDefault="00C47CB0" w:rsidP="00E74FEF">
      <w:pPr>
        <w:pStyle w:val="Nadpis2"/>
      </w:pPr>
      <w:bookmarkStart w:id="19" w:name="_Toc5083066"/>
      <w:r>
        <w:t>Brzdy</w:t>
      </w:r>
      <w:bookmarkEnd w:id="19"/>
    </w:p>
    <w:p w14:paraId="3FF84094" w14:textId="77777777" w:rsidR="00C47CB0" w:rsidRDefault="00C47CB0" w:rsidP="00667D7C">
      <w:pPr>
        <w:spacing w:after="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Jak zabrzdit</w:t>
      </w:r>
    </w:p>
    <w:p w14:paraId="31D2371F" w14:textId="77777777" w:rsidR="00C47CB0" w:rsidRDefault="00C47CB0" w:rsidP="00667D7C">
      <w:pPr>
        <w:spacing w:after="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 xml:space="preserve">Chcete-li zabrzdit chodítko, zatáhněte brzdovou páčku prsty směrem nahoru. Chcete-li pokračovat v pohybu, uvolněte páčku brzdy. </w:t>
      </w:r>
    </w:p>
    <w:p w14:paraId="6899736E" w14:textId="77777777" w:rsidR="00C47CB0" w:rsidRDefault="00C47CB0" w:rsidP="00E74FEF">
      <w:pPr>
        <w:pStyle w:val="Nadpis2"/>
      </w:pPr>
      <w:bookmarkStart w:id="20" w:name="_Toc5083067"/>
      <w:r>
        <w:t>Zablokování kol</w:t>
      </w:r>
      <w:r w:rsidR="00267BF5">
        <w:t xml:space="preserve"> (ruční brzda)</w:t>
      </w:r>
      <w:bookmarkEnd w:id="20"/>
    </w:p>
    <w:p w14:paraId="61EE34A0" w14:textId="77777777" w:rsidR="00C47CB0" w:rsidRDefault="00C47CB0" w:rsidP="009F470F">
      <w:pPr>
        <w:spacing w:after="12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 xml:space="preserve">Stiskněte brzdovou páčku dlaní. Když uslyšíte „kliknutí“ – kolečka jsou zablokována. Pro odblokování kol </w:t>
      </w:r>
      <w:r w:rsidR="00267BF5">
        <w:rPr>
          <w:rFonts w:ascii="inherit" w:hAnsi="inherit"/>
          <w:sz w:val="20"/>
          <w:szCs w:val="20"/>
        </w:rPr>
        <w:t>zdvihněte za obě</w:t>
      </w:r>
      <w:r>
        <w:rPr>
          <w:rFonts w:ascii="inherit" w:hAnsi="inherit"/>
          <w:sz w:val="20"/>
          <w:szCs w:val="20"/>
        </w:rPr>
        <w:t xml:space="preserve"> páčky brzdy, brzdy </w:t>
      </w:r>
      <w:r w:rsidR="00267BF5">
        <w:rPr>
          <w:rFonts w:ascii="inherit" w:hAnsi="inherit"/>
          <w:sz w:val="20"/>
          <w:szCs w:val="20"/>
        </w:rPr>
        <w:t xml:space="preserve">se </w:t>
      </w:r>
      <w:r>
        <w:rPr>
          <w:rFonts w:ascii="inherit" w:hAnsi="inherit"/>
          <w:sz w:val="20"/>
          <w:szCs w:val="20"/>
        </w:rPr>
        <w:t xml:space="preserve">uvolní. </w:t>
      </w:r>
    </w:p>
    <w:p w14:paraId="0A65CD06" w14:textId="77777777" w:rsidR="00C47CB0" w:rsidRDefault="00C47CB0" w:rsidP="00667D7C">
      <w:pPr>
        <w:spacing w:after="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U</w:t>
      </w:r>
      <w:r w:rsidR="00E74FEF">
        <w:rPr>
          <w:rFonts w:ascii="inherit" w:hAnsi="inherit"/>
          <w:sz w:val="20"/>
          <w:szCs w:val="20"/>
        </w:rPr>
        <w:t>POZORNĚNÍ</w:t>
      </w:r>
      <w:r>
        <w:rPr>
          <w:rFonts w:ascii="inherit" w:hAnsi="inherit"/>
          <w:sz w:val="20"/>
          <w:szCs w:val="20"/>
        </w:rPr>
        <w:t xml:space="preserve">: Pokud se s chodítkem nepohybujete, vždy zabrzděte kola. </w:t>
      </w:r>
    </w:p>
    <w:p w14:paraId="7E770C0F" w14:textId="77777777" w:rsidR="00C47CB0" w:rsidRDefault="00C47CB0" w:rsidP="00FF342A">
      <w:pPr>
        <w:pStyle w:val="Nadpis1"/>
        <w:spacing w:line="360" w:lineRule="auto"/>
      </w:pPr>
      <w:bookmarkStart w:id="21" w:name="_Toc5083068"/>
      <w:r>
        <w:t>P</w:t>
      </w:r>
      <w:r w:rsidR="009F470F">
        <w:t>RAKTICKÉ POUŽITÍ</w:t>
      </w:r>
      <w:r>
        <w:t>:</w:t>
      </w:r>
      <w:bookmarkEnd w:id="21"/>
    </w:p>
    <w:p w14:paraId="38169416" w14:textId="77777777" w:rsidR="00C47CB0" w:rsidRPr="00E74FEF" w:rsidRDefault="00267BF5" w:rsidP="00E74FE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S chodítkem jděte, pokud jste ve vzpřímené poloze a s oběma rukama na rukojetích;</w:t>
      </w:r>
    </w:p>
    <w:p w14:paraId="553BD48D" w14:textId="77777777" w:rsidR="00E74FEF" w:rsidRPr="00E74FEF" w:rsidRDefault="00E74FEF" w:rsidP="00E74FE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E74FEF">
        <w:rPr>
          <w:rFonts w:ascii="inherit" w:hAnsi="inherit"/>
          <w:sz w:val="20"/>
          <w:szCs w:val="20"/>
        </w:rPr>
        <w:t>Ujistěte se, že jsou vaše ruce such</w:t>
      </w:r>
      <w:r w:rsidR="00267BF5">
        <w:rPr>
          <w:rFonts w:ascii="inherit" w:hAnsi="inherit"/>
          <w:sz w:val="20"/>
          <w:szCs w:val="20"/>
        </w:rPr>
        <w:t>é;</w:t>
      </w:r>
    </w:p>
    <w:p w14:paraId="735606C7" w14:textId="77777777" w:rsidR="00E74FEF" w:rsidRPr="00E74FEF" w:rsidRDefault="00E74FEF" w:rsidP="00E74FE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E74FEF">
        <w:rPr>
          <w:rFonts w:ascii="inherit" w:hAnsi="inherit"/>
          <w:sz w:val="20"/>
          <w:szCs w:val="20"/>
        </w:rPr>
        <w:t>Při chůzi udržujte vzpřímenou pozici s očima směřujícími dopředu a ne dolů;</w:t>
      </w:r>
    </w:p>
    <w:p w14:paraId="464EED2A" w14:textId="77777777" w:rsidR="00E74FEF" w:rsidRPr="00E74FEF" w:rsidRDefault="00E74FEF" w:rsidP="00E74FE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E74FEF">
        <w:rPr>
          <w:rFonts w:ascii="inherit" w:hAnsi="inherit"/>
          <w:sz w:val="20"/>
          <w:szCs w:val="20"/>
        </w:rPr>
        <w:t>Netlačte chodítko příliš daleko od těla, což může způsobit pády a nesprávné zatížení;</w:t>
      </w:r>
    </w:p>
    <w:p w14:paraId="5CED3B40" w14:textId="77777777" w:rsidR="00E74FEF" w:rsidRPr="00E74FEF" w:rsidRDefault="00E74FEF" w:rsidP="00E74FE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E74FEF">
        <w:rPr>
          <w:rFonts w:ascii="inherit" w:hAnsi="inherit"/>
          <w:sz w:val="20"/>
          <w:szCs w:val="20"/>
        </w:rPr>
        <w:t>Nepoužívejte chodítko k překonání překážek vyšší než 20 mm;</w:t>
      </w:r>
    </w:p>
    <w:p w14:paraId="1406DBAC" w14:textId="77777777" w:rsidR="00E74FEF" w:rsidRDefault="00E74FEF" w:rsidP="00E74FE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E74FEF">
        <w:rPr>
          <w:rFonts w:ascii="inherit" w:hAnsi="inherit"/>
          <w:sz w:val="20"/>
          <w:szCs w:val="20"/>
        </w:rPr>
        <w:t>Při použití venku dávejte přednost chodník</w:t>
      </w:r>
      <w:r w:rsidR="00267BF5">
        <w:rPr>
          <w:rFonts w:ascii="inherit" w:hAnsi="inherit"/>
          <w:sz w:val="20"/>
          <w:szCs w:val="20"/>
        </w:rPr>
        <w:t>u</w:t>
      </w:r>
    </w:p>
    <w:p w14:paraId="66260BA8" w14:textId="77777777" w:rsidR="00E6089C" w:rsidRPr="00267BF5" w:rsidRDefault="00267BF5" w:rsidP="00E74FEF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267BF5">
        <w:rPr>
          <w:rFonts w:ascii="inherit" w:hAnsi="inherit" w:cs="Interstate-Regular"/>
          <w:sz w:val="20"/>
          <w:szCs w:val="20"/>
        </w:rPr>
        <w:t>Před překonáním malých překážek zvedněte opěrky nohy a poté nadzdvihněte předek chodítka.</w:t>
      </w:r>
    </w:p>
    <w:p w14:paraId="5C9A1262" w14:textId="77777777" w:rsidR="00E74FEF" w:rsidRDefault="00E74FEF" w:rsidP="00267BF5">
      <w:pPr>
        <w:pStyle w:val="Nadpis1"/>
        <w:spacing w:line="360" w:lineRule="auto"/>
      </w:pPr>
      <w:bookmarkStart w:id="22" w:name="_Toc5083069"/>
      <w:r>
        <w:t>ČIŠTĚNÍ A ÚDRŽBA</w:t>
      </w:r>
      <w:bookmarkEnd w:id="22"/>
    </w:p>
    <w:p w14:paraId="1DC01817" w14:textId="77777777" w:rsidR="00E74FEF" w:rsidRPr="00E74FEF" w:rsidRDefault="00E74FEF" w:rsidP="00E74FEF">
      <w:pPr>
        <w:pStyle w:val="Zkladntext"/>
        <w:spacing w:before="8" w:line="360" w:lineRule="auto"/>
        <w:ind w:right="126"/>
        <w:jc w:val="both"/>
        <w:rPr>
          <w:rFonts w:ascii="inherit" w:hAnsi="inherit"/>
          <w:sz w:val="20"/>
          <w:szCs w:val="20"/>
        </w:rPr>
      </w:pPr>
      <w:r w:rsidRPr="00E74FEF">
        <w:rPr>
          <w:rFonts w:ascii="inherit" w:hAnsi="inherit"/>
          <w:sz w:val="20"/>
          <w:szCs w:val="20"/>
        </w:rPr>
        <w:t>Výrobky MOPEDIA jsou pečlivě zkontrolovány a nesou značku CE. Pro bezpečnost uživatele doporučujeme kontrolu výrobcem nebo oprávněnou osobou nejméně jednou za dva roky. Při opravách je třeba použít pouze originální náhradní díly a příslušenství.</w:t>
      </w:r>
    </w:p>
    <w:p w14:paraId="6D68DFB4" w14:textId="77777777" w:rsidR="00E74FEF" w:rsidRPr="00E74FEF" w:rsidRDefault="00E74FEF" w:rsidP="00E74FEF">
      <w:pPr>
        <w:pStyle w:val="Zkladntext"/>
        <w:spacing w:line="360" w:lineRule="auto"/>
        <w:rPr>
          <w:rFonts w:ascii="inherit" w:hAnsi="inherit"/>
          <w:sz w:val="20"/>
          <w:szCs w:val="20"/>
        </w:rPr>
      </w:pPr>
      <w:r w:rsidRPr="00E74FEF">
        <w:rPr>
          <w:rFonts w:ascii="inherit" w:hAnsi="inherit"/>
          <w:sz w:val="20"/>
          <w:szCs w:val="20"/>
        </w:rPr>
        <w:t>Doba životnosti výrobku závisí na použití, údržbě, skladování a čištění.</w:t>
      </w:r>
    </w:p>
    <w:p w14:paraId="6B5AE2D1" w14:textId="77777777" w:rsidR="00E74FEF" w:rsidRDefault="00E74FEF" w:rsidP="00E74FEF">
      <w:pPr>
        <w:pStyle w:val="Nadpis2"/>
      </w:pPr>
      <w:bookmarkStart w:id="23" w:name="_Toc5083070"/>
      <w:r>
        <w:t>Čištění</w:t>
      </w:r>
      <w:bookmarkEnd w:id="23"/>
    </w:p>
    <w:p w14:paraId="18BC5175" w14:textId="77777777" w:rsidR="00E74FEF" w:rsidRPr="0092087D" w:rsidRDefault="00E74FEF" w:rsidP="0092087D">
      <w:pPr>
        <w:pStyle w:val="Zkladntext"/>
        <w:spacing w:before="8" w:line="360" w:lineRule="auto"/>
        <w:jc w:val="both"/>
        <w:rPr>
          <w:rFonts w:ascii="inherit" w:hAnsi="inherit"/>
          <w:sz w:val="20"/>
          <w:szCs w:val="20"/>
        </w:rPr>
      </w:pPr>
      <w:r w:rsidRPr="00E74FEF">
        <w:rPr>
          <w:rFonts w:ascii="inherit" w:hAnsi="inherit"/>
          <w:sz w:val="20"/>
          <w:szCs w:val="20"/>
        </w:rPr>
        <w:t>Při čištění dílů používejte pouze vlhkou utěrku s neutrálním čisticím prostředkem, nepoužívejte čisticí prostředky obsahující rozpouštědla a kovové kartáče nebo abrazivní nebo ostré předměty, mohlo by dojít k poškození výrobku.</w:t>
      </w:r>
    </w:p>
    <w:p w14:paraId="0B8DADC7" w14:textId="77777777" w:rsidR="00E74FEF" w:rsidRDefault="00E74FEF" w:rsidP="00E74FEF">
      <w:pPr>
        <w:pStyle w:val="Nadpis2"/>
      </w:pPr>
      <w:bookmarkStart w:id="24" w:name="_Toc5083071"/>
      <w:r>
        <w:t>Údržba kol</w:t>
      </w:r>
      <w:bookmarkEnd w:id="24"/>
    </w:p>
    <w:p w14:paraId="55506E94" w14:textId="77777777" w:rsidR="00E74FEF" w:rsidRPr="00E74FEF" w:rsidRDefault="00E74FEF" w:rsidP="00E74FEF">
      <w:pPr>
        <w:pStyle w:val="Odstavecseseznamem"/>
        <w:widowControl w:val="0"/>
        <w:numPr>
          <w:ilvl w:val="0"/>
          <w:numId w:val="26"/>
        </w:numPr>
        <w:tabs>
          <w:tab w:val="left" w:pos="341"/>
        </w:tabs>
        <w:autoSpaceDE w:val="0"/>
        <w:autoSpaceDN w:val="0"/>
        <w:spacing w:after="0" w:line="360" w:lineRule="auto"/>
        <w:jc w:val="both"/>
        <w:rPr>
          <w:rFonts w:ascii="inherit" w:hAnsi="inherit"/>
          <w:sz w:val="20"/>
        </w:rPr>
      </w:pPr>
      <w:r w:rsidRPr="00E74FEF">
        <w:rPr>
          <w:rFonts w:ascii="inherit" w:hAnsi="inherit"/>
          <w:spacing w:val="-3"/>
          <w:sz w:val="20"/>
        </w:rPr>
        <w:t>Očistěte kola teplou vodou a jemným mycím prostředkem. Osušte je čistým hadříkem.</w:t>
      </w:r>
    </w:p>
    <w:p w14:paraId="09AF01F4" w14:textId="77777777" w:rsidR="00A42B53" w:rsidRPr="00E74FEF" w:rsidRDefault="00E74FEF" w:rsidP="00E74FEF">
      <w:pPr>
        <w:pStyle w:val="Odstavecseseznamem"/>
        <w:widowControl w:val="0"/>
        <w:numPr>
          <w:ilvl w:val="0"/>
          <w:numId w:val="26"/>
        </w:numPr>
        <w:tabs>
          <w:tab w:val="left" w:pos="341"/>
        </w:tabs>
        <w:autoSpaceDE w:val="0"/>
        <w:autoSpaceDN w:val="0"/>
        <w:spacing w:after="0" w:line="360" w:lineRule="auto"/>
        <w:jc w:val="both"/>
        <w:rPr>
          <w:rFonts w:ascii="inherit" w:hAnsi="inherit"/>
          <w:sz w:val="20"/>
        </w:rPr>
      </w:pPr>
      <w:r w:rsidRPr="00E74FEF">
        <w:rPr>
          <w:rFonts w:ascii="inherit" w:hAnsi="inherit"/>
          <w:spacing w:val="-3"/>
          <w:sz w:val="20"/>
        </w:rPr>
        <w:t xml:space="preserve">Kola pravidelně </w:t>
      </w:r>
      <w:r w:rsidR="00267BF5">
        <w:rPr>
          <w:rFonts w:ascii="inherit" w:hAnsi="inherit"/>
          <w:spacing w:val="-3"/>
          <w:sz w:val="20"/>
        </w:rPr>
        <w:t>promazávejte.</w:t>
      </w:r>
    </w:p>
    <w:p w14:paraId="19EAAD7B" w14:textId="77777777" w:rsidR="00AC5CC0" w:rsidRDefault="00C33B38" w:rsidP="003C2530">
      <w:pPr>
        <w:pStyle w:val="Nadpis1"/>
        <w:spacing w:before="0" w:line="360" w:lineRule="auto"/>
      </w:pPr>
      <w:bookmarkStart w:id="25" w:name="_Toc5083072"/>
      <w:r>
        <w:t>TECHNICKÉ VLASTNOSTI:</w:t>
      </w:r>
      <w:bookmarkEnd w:id="25"/>
    </w:p>
    <w:p w14:paraId="5B0E183B" w14:textId="77777777" w:rsidR="00E74FEF" w:rsidRDefault="00E6089C" w:rsidP="00E74FEF">
      <w:r>
        <w:rPr>
          <w:noProof/>
        </w:rPr>
        <w:drawing>
          <wp:inline distT="0" distB="0" distL="0" distR="0" wp14:anchorId="32FC279A" wp14:editId="0E881C89">
            <wp:extent cx="6119495" cy="1939925"/>
            <wp:effectExtent l="0" t="0" r="0" b="3175"/>
            <wp:docPr id="28" name="Obrázek 28" descr="Obsah obrázku snímek obrazovky&#10;&#10;Popis se vygeneroval automatic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urano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47363" w14:textId="77777777" w:rsidR="00AC3A47" w:rsidRPr="00AC3A47" w:rsidRDefault="00AC3A47" w:rsidP="00E74FEF">
      <w:pPr>
        <w:rPr>
          <w:rFonts w:ascii="inherit" w:hAnsi="inherit"/>
          <w:sz w:val="20"/>
        </w:rPr>
      </w:pPr>
      <w:r w:rsidRPr="00AC3A47">
        <w:rPr>
          <w:rFonts w:ascii="inherit" w:hAnsi="inherit"/>
          <w:sz w:val="20"/>
        </w:rPr>
        <w:t>Pozn. – Tolerance +/- 0,5 cm</w:t>
      </w:r>
    </w:p>
    <w:p w14:paraId="798B82A4" w14:textId="77777777" w:rsidR="00AB1A12" w:rsidRDefault="00AB1A12" w:rsidP="003C2530">
      <w:pPr>
        <w:pStyle w:val="Nadpis1"/>
        <w:spacing w:before="0" w:line="360" w:lineRule="auto"/>
      </w:pPr>
      <w:bookmarkStart w:id="26" w:name="_Toc5083073"/>
      <w:r>
        <w:t>NÁHRADNÍ DÍLY A PŘÍSLUŠENSTVÍ</w:t>
      </w:r>
      <w:bookmarkEnd w:id="26"/>
    </w:p>
    <w:p w14:paraId="781FBA12" w14:textId="77777777" w:rsidR="003D649F" w:rsidRPr="00AC3A47" w:rsidRDefault="00AC3A47" w:rsidP="00BB7050">
      <w:pPr>
        <w:rPr>
          <w:rFonts w:ascii="inherit" w:hAnsi="inherit"/>
          <w:sz w:val="20"/>
        </w:rPr>
      </w:pPr>
      <w:r w:rsidRPr="00AC3A47">
        <w:rPr>
          <w:rFonts w:ascii="inherit" w:hAnsi="inherit"/>
          <w:sz w:val="20"/>
        </w:rPr>
        <w:t>Pro více informací kontaktujte prodejce.</w:t>
      </w:r>
    </w:p>
    <w:p w14:paraId="74324557" w14:textId="77777777" w:rsidR="006420EA" w:rsidRPr="009E618A" w:rsidRDefault="006420EA" w:rsidP="004C30EF">
      <w:pPr>
        <w:pStyle w:val="Nadpis1"/>
        <w:spacing w:line="360" w:lineRule="auto"/>
        <w:jc w:val="both"/>
      </w:pPr>
      <w:bookmarkStart w:id="27" w:name="_Toc5083074"/>
      <w:r w:rsidRPr="009E618A">
        <w:t>ZÁRUKA</w:t>
      </w:r>
      <w:bookmarkEnd w:id="27"/>
    </w:p>
    <w:p w14:paraId="479AFDBC" w14:textId="77777777" w:rsidR="006420EA" w:rsidRPr="009E618A" w:rsidRDefault="006420EA" w:rsidP="00F92BFA">
      <w:pPr>
        <w:spacing w:after="120" w:line="360" w:lineRule="auto"/>
        <w:jc w:val="both"/>
        <w:rPr>
          <w:rFonts w:ascii="inherit" w:hAnsi="inherit"/>
          <w:sz w:val="20"/>
        </w:rPr>
      </w:pPr>
      <w:r w:rsidRPr="009E618A">
        <w:rPr>
          <w:rFonts w:ascii="inherit" w:hAnsi="inherit"/>
          <w:sz w:val="20"/>
        </w:rPr>
        <w:t>Všechny výrobky mají záruku na vady materiálu nebo zpracování po dobu dvou let od data prodeje, s výhradou výjimek a omezení uvedených níže. Tato záruka není platná v případě nesprávného použití, zneužití nebo změny produktu a nedodržení pokynů k použití. Správné používání výrobku je uvedeno v uživatelské příručce.</w:t>
      </w:r>
    </w:p>
    <w:p w14:paraId="2004FB20" w14:textId="77777777" w:rsidR="006420EA" w:rsidRPr="009E618A" w:rsidRDefault="006420EA" w:rsidP="00F92BFA">
      <w:pPr>
        <w:spacing w:after="120" w:line="360" w:lineRule="auto"/>
        <w:jc w:val="both"/>
        <w:rPr>
          <w:rFonts w:ascii="inherit" w:hAnsi="inherit"/>
          <w:sz w:val="20"/>
        </w:rPr>
      </w:pPr>
      <w:r w:rsidRPr="009E618A">
        <w:rPr>
          <w:rFonts w:ascii="inherit" w:hAnsi="inherit"/>
          <w:sz w:val="20"/>
        </w:rPr>
        <w:t>Prodejce ani výrobce neodpovídá za vzniklé škody, zranění nebo jiné škody při použití tohoto zařízení v rozporu s touto příručkou</w:t>
      </w:r>
    </w:p>
    <w:p w14:paraId="7A22CEB1" w14:textId="77777777" w:rsidR="006420EA" w:rsidRPr="009E618A" w:rsidRDefault="009E618A" w:rsidP="00F92BFA">
      <w:pPr>
        <w:spacing w:after="120" w:line="360" w:lineRule="auto"/>
        <w:jc w:val="both"/>
        <w:rPr>
          <w:rFonts w:ascii="inherit" w:hAnsi="inherit"/>
          <w:sz w:val="20"/>
        </w:rPr>
      </w:pPr>
      <w:r>
        <w:rPr>
          <w:rFonts w:ascii="inherit" w:hAnsi="inherit"/>
          <w:sz w:val="20"/>
        </w:rPr>
        <w:t>Výrobce ani dodavatel</w:t>
      </w:r>
      <w:r w:rsidR="006420EA" w:rsidRPr="009E618A">
        <w:rPr>
          <w:rFonts w:ascii="inherit" w:hAnsi="inherit"/>
          <w:sz w:val="20"/>
        </w:rPr>
        <w:t xml:space="preserve"> neodpovídá za vady výrobku v případě postižení přístroje přírodními katastrofami, zanedbané údržby nebo neodborné úpravy, škody způsobené problémy s napájením (je-li k dispozici), použití částí nebo součástí, které nejsou schváleny, použití v rozporu s návodem k obsluze, neoprávněné úpravy přístroje, poškození při přepravě (odlišné od původních zásilek od </w:t>
      </w:r>
      <w:r>
        <w:rPr>
          <w:rFonts w:ascii="inherit" w:hAnsi="inherit"/>
          <w:sz w:val="20"/>
        </w:rPr>
        <w:t>výrobce/dodavatele)</w:t>
      </w:r>
    </w:p>
    <w:p w14:paraId="246054DD" w14:textId="77777777" w:rsidR="006420EA" w:rsidRPr="009E618A" w:rsidRDefault="006420EA" w:rsidP="00F92BFA">
      <w:pPr>
        <w:spacing w:after="120" w:line="360" w:lineRule="auto"/>
        <w:jc w:val="both"/>
        <w:rPr>
          <w:rFonts w:ascii="inherit" w:hAnsi="inherit"/>
          <w:sz w:val="20"/>
        </w:rPr>
      </w:pPr>
      <w:r w:rsidRPr="009E618A">
        <w:rPr>
          <w:rFonts w:ascii="inherit" w:hAnsi="inherit"/>
          <w:sz w:val="20"/>
        </w:rPr>
        <w:t>Záruka se nevztahuje na vady vzniklé běžným použitím výrobku.</w:t>
      </w:r>
    </w:p>
    <w:p w14:paraId="1EA45FCE" w14:textId="77777777" w:rsidR="006420EA" w:rsidRPr="009E618A" w:rsidRDefault="006420EA" w:rsidP="004C30EF">
      <w:pPr>
        <w:pStyle w:val="Nadpis1"/>
        <w:spacing w:line="360" w:lineRule="auto"/>
        <w:jc w:val="both"/>
      </w:pPr>
      <w:bookmarkStart w:id="28" w:name="_Toc5083075"/>
      <w:r w:rsidRPr="009E618A">
        <w:t>OPRAVY</w:t>
      </w:r>
      <w:bookmarkEnd w:id="28"/>
    </w:p>
    <w:p w14:paraId="22FC1A2F" w14:textId="77777777" w:rsidR="006420EA" w:rsidRPr="00650CAB" w:rsidRDefault="006420EA" w:rsidP="009F470F">
      <w:pPr>
        <w:pStyle w:val="Nadpis2"/>
      </w:pPr>
      <w:bookmarkStart w:id="29" w:name="_Toc5083076"/>
      <w:r w:rsidRPr="00650CAB">
        <w:t>Záruční opravy</w:t>
      </w:r>
      <w:bookmarkEnd w:id="29"/>
    </w:p>
    <w:p w14:paraId="3C854754" w14:textId="77777777" w:rsidR="006420EA" w:rsidRPr="009E618A" w:rsidRDefault="006420EA" w:rsidP="00F92BFA">
      <w:pPr>
        <w:spacing w:after="120" w:line="360" w:lineRule="auto"/>
        <w:jc w:val="both"/>
        <w:rPr>
          <w:rFonts w:ascii="inherit" w:hAnsi="inherit"/>
          <w:sz w:val="20"/>
        </w:rPr>
      </w:pPr>
      <w:r w:rsidRPr="009E618A">
        <w:rPr>
          <w:rFonts w:ascii="inherit" w:hAnsi="inherit"/>
          <w:sz w:val="20"/>
        </w:rPr>
        <w:t>V případě, že produkt</w:t>
      </w:r>
      <w:r w:rsidR="009E618A">
        <w:rPr>
          <w:rFonts w:ascii="inherit" w:hAnsi="inherit"/>
          <w:sz w:val="20"/>
        </w:rPr>
        <w:t xml:space="preserve"> MOPEDIA </w:t>
      </w:r>
      <w:r w:rsidRPr="009E618A">
        <w:rPr>
          <w:rFonts w:ascii="inherit" w:hAnsi="inherit"/>
          <w:sz w:val="20"/>
        </w:rPr>
        <w:t xml:space="preserve">má během záruční doby materiálové nebo výrobní vady, </w:t>
      </w:r>
      <w:r w:rsidR="009E618A">
        <w:rPr>
          <w:rFonts w:ascii="inherit" w:hAnsi="inherit"/>
          <w:sz w:val="20"/>
        </w:rPr>
        <w:t>výrobce/dodavatel</w:t>
      </w:r>
      <w:r w:rsidRPr="009E618A">
        <w:rPr>
          <w:rFonts w:ascii="inherit" w:hAnsi="inherit"/>
          <w:sz w:val="20"/>
        </w:rPr>
        <w:t xml:space="preserve"> posoudí, zda je na vadu výrobku vztažena záruka. </w:t>
      </w:r>
      <w:r w:rsidR="009E618A">
        <w:rPr>
          <w:rFonts w:ascii="inherit" w:hAnsi="inherit"/>
          <w:sz w:val="20"/>
        </w:rPr>
        <w:t>Výrobce/dodavatel</w:t>
      </w:r>
      <w:r w:rsidRPr="009E618A">
        <w:rPr>
          <w:rFonts w:ascii="inherit" w:hAnsi="inherit"/>
          <w:sz w:val="20"/>
        </w:rPr>
        <w:t xml:space="preserve"> může na základě vlastního uvážení nahradit nebo opravit záruční položku u konkrétního dealera </w:t>
      </w:r>
      <w:r w:rsidR="009E618A">
        <w:rPr>
          <w:rFonts w:ascii="inherit" w:hAnsi="inherit"/>
          <w:sz w:val="20"/>
        </w:rPr>
        <w:t xml:space="preserve">dané společnosti </w:t>
      </w:r>
      <w:r w:rsidRPr="009E618A">
        <w:rPr>
          <w:rFonts w:ascii="inherit" w:hAnsi="inherit"/>
          <w:sz w:val="20"/>
        </w:rPr>
        <w:t>nebo v jeho sídle. Náklady na opravdu přístroje v případě uznání záruky nese výrobce, potažmo prodejce přístroje. Oprava nebo výměna neobnovuje nebo prodlužuje záruku.</w:t>
      </w:r>
    </w:p>
    <w:p w14:paraId="600E3B94" w14:textId="77777777" w:rsidR="006420EA" w:rsidRPr="009E618A" w:rsidRDefault="006420EA" w:rsidP="009F470F">
      <w:pPr>
        <w:pStyle w:val="Nadpis2"/>
      </w:pPr>
      <w:bookmarkStart w:id="30" w:name="_Toc5083077"/>
      <w:r w:rsidRPr="009E618A">
        <w:t>Oprava výrobku, na který se nevztahuje záruka</w:t>
      </w:r>
      <w:bookmarkEnd w:id="30"/>
    </w:p>
    <w:p w14:paraId="1D108358" w14:textId="77777777" w:rsidR="006420EA" w:rsidRPr="009E618A" w:rsidRDefault="006420EA" w:rsidP="00F92BFA">
      <w:pPr>
        <w:spacing w:after="120" w:line="360" w:lineRule="auto"/>
        <w:jc w:val="both"/>
        <w:rPr>
          <w:rFonts w:ascii="inherit" w:hAnsi="inherit"/>
          <w:sz w:val="20"/>
        </w:rPr>
      </w:pPr>
      <w:r w:rsidRPr="009E618A">
        <w:rPr>
          <w:rFonts w:ascii="inherit" w:hAnsi="inherit"/>
          <w:sz w:val="20"/>
        </w:rPr>
        <w:t>Produkt, na nějž se nevztahuje záruka, lze opravit u a</w:t>
      </w:r>
      <w:r w:rsidR="009E618A">
        <w:rPr>
          <w:rFonts w:ascii="inherit" w:hAnsi="inherit"/>
          <w:sz w:val="20"/>
        </w:rPr>
        <w:t>u</w:t>
      </w:r>
      <w:r w:rsidRPr="009E618A">
        <w:rPr>
          <w:rFonts w:ascii="inherit" w:hAnsi="inherit"/>
          <w:sz w:val="20"/>
        </w:rPr>
        <w:t>torizovaného prodejce zařízení. Náklady na práci a dopravu spojené s opravou, na kterou se nevztahuje záruka, budou plně hrazeny zákazníkem. Na vykonanou opravu se vztahuje záruční doba po dobu šesti (šesti) měsíců, počínaje dnem, kdy byl opravovaný výrobek obdržen.</w:t>
      </w:r>
    </w:p>
    <w:p w14:paraId="1D8B93FF" w14:textId="77777777" w:rsidR="006420EA" w:rsidRPr="009E618A" w:rsidRDefault="006420EA" w:rsidP="009F470F">
      <w:pPr>
        <w:pStyle w:val="Nadpis2"/>
      </w:pPr>
      <w:bookmarkStart w:id="31" w:name="_Toc5083078"/>
      <w:r w:rsidRPr="009E618A">
        <w:t>Neoprávněná reklamace</w:t>
      </w:r>
      <w:bookmarkEnd w:id="31"/>
    </w:p>
    <w:p w14:paraId="0EB96CFD" w14:textId="77777777" w:rsidR="006420EA" w:rsidRPr="009E618A" w:rsidRDefault="006420EA" w:rsidP="00F92BFA">
      <w:pPr>
        <w:spacing w:after="120" w:line="360" w:lineRule="auto"/>
        <w:jc w:val="both"/>
        <w:rPr>
          <w:rFonts w:ascii="inherit" w:hAnsi="inherit"/>
          <w:sz w:val="20"/>
        </w:rPr>
      </w:pPr>
      <w:r w:rsidRPr="009E618A">
        <w:rPr>
          <w:rFonts w:ascii="inherit" w:hAnsi="inherit"/>
          <w:sz w:val="20"/>
        </w:rPr>
        <w:t>Zákazník bude informován o tom, že po přezkoumání a otestování vráceného produktu dodavatelem, že výrobek není vadný a nelze uplatnit záruční opravu. Produkt bude vrácen zákazníkovi a bude účtován náklad za dopravu výrobku zákazníkovi.</w:t>
      </w:r>
    </w:p>
    <w:p w14:paraId="7A96E718" w14:textId="77777777" w:rsidR="006420EA" w:rsidRPr="009E618A" w:rsidRDefault="006420EA" w:rsidP="004C30EF">
      <w:pPr>
        <w:pStyle w:val="Nadpis1"/>
        <w:spacing w:line="360" w:lineRule="auto"/>
        <w:jc w:val="both"/>
      </w:pPr>
      <w:bookmarkStart w:id="32" w:name="_Toc5083079"/>
      <w:r w:rsidRPr="009E618A">
        <w:t>NÁHRADNÍ DÍLY</w:t>
      </w:r>
      <w:bookmarkEnd w:id="32"/>
    </w:p>
    <w:p w14:paraId="0A2C84F9" w14:textId="77777777" w:rsidR="006420EA" w:rsidRDefault="006420EA" w:rsidP="00F92BFA">
      <w:pPr>
        <w:spacing w:after="120" w:line="360" w:lineRule="auto"/>
        <w:jc w:val="both"/>
        <w:rPr>
          <w:rFonts w:ascii="inherit" w:hAnsi="inherit"/>
          <w:sz w:val="20"/>
        </w:rPr>
      </w:pPr>
      <w:r w:rsidRPr="009E618A">
        <w:rPr>
          <w:rFonts w:ascii="inherit" w:hAnsi="inherit"/>
          <w:sz w:val="20"/>
        </w:rPr>
        <w:t>Na originální náhradní díly M</w:t>
      </w:r>
      <w:r w:rsidR="009E618A">
        <w:rPr>
          <w:rFonts w:ascii="inherit" w:hAnsi="inherit"/>
          <w:sz w:val="20"/>
        </w:rPr>
        <w:t>OPEDIA</w:t>
      </w:r>
      <w:r w:rsidRPr="009E618A">
        <w:rPr>
          <w:rFonts w:ascii="inherit" w:hAnsi="inherit"/>
          <w:sz w:val="20"/>
        </w:rPr>
        <w:t xml:space="preserve"> je poskytována záruční doba šesti (6) měsíců od data, kdy byly náhradní díly použity.</w:t>
      </w:r>
    </w:p>
    <w:p w14:paraId="68F604AB" w14:textId="77777777" w:rsidR="009E618A" w:rsidRDefault="009E618A" w:rsidP="004C30EF">
      <w:pPr>
        <w:pStyle w:val="Nadpis1"/>
        <w:spacing w:line="360" w:lineRule="auto"/>
        <w:jc w:val="both"/>
      </w:pPr>
      <w:bookmarkStart w:id="33" w:name="_Toc5083080"/>
      <w:r>
        <w:t>OSVOBOZUJÍCÍ KLAUZULE</w:t>
      </w:r>
      <w:bookmarkEnd w:id="33"/>
    </w:p>
    <w:p w14:paraId="411E0783" w14:textId="77777777" w:rsidR="009E618A" w:rsidRPr="009E618A" w:rsidRDefault="009E618A" w:rsidP="00F92BFA">
      <w:pPr>
        <w:spacing w:after="120" w:line="360" w:lineRule="auto"/>
        <w:jc w:val="both"/>
        <w:rPr>
          <w:rFonts w:ascii="Inharit" w:hAnsi="Inharit"/>
          <w:color w:val="000000" w:themeColor="text1"/>
          <w:sz w:val="20"/>
          <w:szCs w:val="20"/>
        </w:rPr>
      </w:pPr>
      <w:r w:rsidRPr="009E618A">
        <w:rPr>
          <w:rFonts w:ascii="Inharit" w:hAnsi="Inharit"/>
          <w:color w:val="000000" w:themeColor="text1"/>
          <w:sz w:val="20"/>
          <w:szCs w:val="20"/>
        </w:rPr>
        <w:t>Výrobce neposkytuje klientům žádné jiné záruky, podmínky ani garance, vyslovené či předpokládané než ty, které jsou explicitně uvedeny v tomto dokumentu, a to v souladu se zákonem. Výrobce nezaručuje, že používání příslušných produktů bude dlouhodobé a bez závad. Délka záruk, které mohou implicitně vyplývat ze zákona, je omezena na řádnou záruční lhůtu 2 roky. Některé státy a země nepovolují omezení a výjimky v délce záruky vyplývající náhodného nepřímého poškození produktu. V těchto státech či zemích se nemusí některá omezení či výjimky uvedené v této záruce vztahovat na klienta. Tyto záruční podmínky mohou být bez dalšího upozornění upravovány.</w:t>
      </w:r>
    </w:p>
    <w:p w14:paraId="3812FBF1" w14:textId="77777777" w:rsidR="0001731B" w:rsidRDefault="00D25C50">
      <w:pPr>
        <w:rPr>
          <w:rFonts w:ascii="inherit" w:hAnsi="inherit"/>
          <w:sz w:val="20"/>
          <w:szCs w:val="20"/>
        </w:rPr>
      </w:pPr>
      <w:r w:rsidRPr="006C1CD5">
        <w:rPr>
          <w:noProof/>
        </w:rPr>
        <w:drawing>
          <wp:anchor distT="0" distB="0" distL="114300" distR="114300" simplePos="0" relativeHeight="251659264" behindDoc="0" locked="0" layoutInCell="1" allowOverlap="1" wp14:anchorId="16BB623A" wp14:editId="2DB4163A">
            <wp:simplePos x="0" y="0"/>
            <wp:positionH relativeFrom="margin">
              <wp:align>left</wp:align>
            </wp:positionH>
            <wp:positionV relativeFrom="paragraph">
              <wp:posOffset>189865</wp:posOffset>
            </wp:positionV>
            <wp:extent cx="5088255" cy="1504950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562" cy="150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731B" w:rsidSect="003C2530">
      <w:footerReference w:type="default" r:id="rId16"/>
      <w:pgSz w:w="11906" w:h="16838" w:code="9"/>
      <w:pgMar w:top="851" w:right="851" w:bottom="851" w:left="851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9517" w14:textId="77777777" w:rsidR="00D07DD5" w:rsidRDefault="00D07DD5" w:rsidP="003C2530">
      <w:pPr>
        <w:spacing w:after="0" w:line="240" w:lineRule="auto"/>
      </w:pPr>
      <w:r>
        <w:separator/>
      </w:r>
    </w:p>
  </w:endnote>
  <w:endnote w:type="continuationSeparator" w:id="0">
    <w:p w14:paraId="3B3126EA" w14:textId="77777777" w:rsidR="00D07DD5" w:rsidRDefault="00D07DD5" w:rsidP="003C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terstate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ha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E56C" w14:textId="77777777" w:rsidR="00EB6D19" w:rsidRDefault="00EB6D19" w:rsidP="003C2530">
    <w:pPr>
      <w:pStyle w:val="Zpat"/>
    </w:pPr>
  </w:p>
  <w:p w14:paraId="5BA7211F" w14:textId="77777777" w:rsidR="00EB6D19" w:rsidRDefault="00EB6D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097029"/>
      <w:docPartObj>
        <w:docPartGallery w:val="Page Numbers (Bottom of Page)"/>
        <w:docPartUnique/>
      </w:docPartObj>
    </w:sdtPr>
    <w:sdtEndPr/>
    <w:sdtContent>
      <w:p w14:paraId="03966F34" w14:textId="77777777" w:rsidR="00EB6D19" w:rsidRDefault="00EB6D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34E273" w14:textId="77777777" w:rsidR="00EB6D19" w:rsidRDefault="00EB6D1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017839"/>
      <w:docPartObj>
        <w:docPartGallery w:val="Page Numbers (Bottom of Page)"/>
        <w:docPartUnique/>
      </w:docPartObj>
    </w:sdtPr>
    <w:sdtEndPr/>
    <w:sdtContent>
      <w:p w14:paraId="24B7A4C0" w14:textId="77777777" w:rsidR="00EB6D19" w:rsidRDefault="00EB6D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3830AB" w14:textId="77777777" w:rsidR="00EB6D19" w:rsidRDefault="00EB6D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B3DC" w14:textId="77777777" w:rsidR="00D07DD5" w:rsidRDefault="00D07DD5" w:rsidP="003C2530">
      <w:pPr>
        <w:spacing w:after="0" w:line="240" w:lineRule="auto"/>
      </w:pPr>
      <w:r>
        <w:separator/>
      </w:r>
    </w:p>
  </w:footnote>
  <w:footnote w:type="continuationSeparator" w:id="0">
    <w:p w14:paraId="31BCFEE4" w14:textId="77777777" w:rsidR="00D07DD5" w:rsidRDefault="00D07DD5" w:rsidP="003C2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2AB"/>
    <w:multiLevelType w:val="hybridMultilevel"/>
    <w:tmpl w:val="41A0E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20E7"/>
    <w:multiLevelType w:val="hybridMultilevel"/>
    <w:tmpl w:val="CBDC3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537A"/>
    <w:multiLevelType w:val="multilevel"/>
    <w:tmpl w:val="84D20B12"/>
    <w:lvl w:ilvl="0">
      <w:start w:val="7"/>
      <w:numFmt w:val="decimal"/>
      <w:lvlText w:val="%1."/>
      <w:lvlJc w:val="left"/>
      <w:pPr>
        <w:ind w:left="324" w:hanging="178"/>
        <w:jc w:val="left"/>
      </w:pPr>
      <w:rPr>
        <w:rFonts w:hint="default"/>
        <w:b/>
        <w:bCs/>
        <w:spacing w:val="-25"/>
        <w:w w:val="97"/>
      </w:rPr>
    </w:lvl>
    <w:lvl w:ilvl="1">
      <w:start w:val="1"/>
      <w:numFmt w:val="decimal"/>
      <w:lvlText w:val="%1.%2"/>
      <w:lvlJc w:val="left"/>
      <w:pPr>
        <w:ind w:left="389" w:hanging="243"/>
        <w:jc w:val="left"/>
      </w:pPr>
      <w:rPr>
        <w:rFonts w:ascii="Arial" w:eastAsia="Arial" w:hAnsi="Arial" w:cs="Arial" w:hint="default"/>
        <w:b/>
        <w:bCs/>
        <w:color w:val="676767"/>
        <w:spacing w:val="-23"/>
        <w:w w:val="69"/>
        <w:sz w:val="17"/>
        <w:szCs w:val="17"/>
      </w:rPr>
    </w:lvl>
    <w:lvl w:ilvl="2">
      <w:numFmt w:val="bullet"/>
      <w:lvlText w:val="•"/>
      <w:lvlJc w:val="left"/>
      <w:pPr>
        <w:ind w:left="380" w:hanging="243"/>
      </w:pPr>
      <w:rPr>
        <w:rFonts w:hint="default"/>
      </w:rPr>
    </w:lvl>
    <w:lvl w:ilvl="3">
      <w:numFmt w:val="bullet"/>
      <w:lvlText w:val="•"/>
      <w:lvlJc w:val="left"/>
      <w:pPr>
        <w:ind w:left="1277" w:hanging="243"/>
      </w:pPr>
      <w:rPr>
        <w:rFonts w:hint="default"/>
      </w:rPr>
    </w:lvl>
    <w:lvl w:ilvl="4">
      <w:numFmt w:val="bullet"/>
      <w:lvlText w:val="•"/>
      <w:lvlJc w:val="left"/>
      <w:pPr>
        <w:ind w:left="2174" w:hanging="243"/>
      </w:pPr>
      <w:rPr>
        <w:rFonts w:hint="default"/>
      </w:rPr>
    </w:lvl>
    <w:lvl w:ilvl="5">
      <w:numFmt w:val="bullet"/>
      <w:lvlText w:val="•"/>
      <w:lvlJc w:val="left"/>
      <w:pPr>
        <w:ind w:left="3072" w:hanging="243"/>
      </w:pPr>
      <w:rPr>
        <w:rFonts w:hint="default"/>
      </w:rPr>
    </w:lvl>
    <w:lvl w:ilvl="6">
      <w:numFmt w:val="bullet"/>
      <w:lvlText w:val="•"/>
      <w:lvlJc w:val="left"/>
      <w:pPr>
        <w:ind w:left="3969" w:hanging="243"/>
      </w:pPr>
      <w:rPr>
        <w:rFonts w:hint="default"/>
      </w:rPr>
    </w:lvl>
    <w:lvl w:ilvl="7">
      <w:numFmt w:val="bullet"/>
      <w:lvlText w:val="•"/>
      <w:lvlJc w:val="left"/>
      <w:pPr>
        <w:ind w:left="4866" w:hanging="243"/>
      </w:pPr>
      <w:rPr>
        <w:rFonts w:hint="default"/>
      </w:rPr>
    </w:lvl>
    <w:lvl w:ilvl="8">
      <w:numFmt w:val="bullet"/>
      <w:lvlText w:val="•"/>
      <w:lvlJc w:val="left"/>
      <w:pPr>
        <w:ind w:left="5764" w:hanging="243"/>
      </w:pPr>
      <w:rPr>
        <w:rFonts w:hint="default"/>
      </w:rPr>
    </w:lvl>
  </w:abstractNum>
  <w:abstractNum w:abstractNumId="3" w15:restartNumberingAfterBreak="0">
    <w:nsid w:val="140652E3"/>
    <w:multiLevelType w:val="hybridMultilevel"/>
    <w:tmpl w:val="0B144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04B22"/>
    <w:multiLevelType w:val="hybridMultilevel"/>
    <w:tmpl w:val="21702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4963"/>
    <w:multiLevelType w:val="hybridMultilevel"/>
    <w:tmpl w:val="3B1C0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93BAC"/>
    <w:multiLevelType w:val="hybridMultilevel"/>
    <w:tmpl w:val="EEFAA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011C5"/>
    <w:multiLevelType w:val="hybridMultilevel"/>
    <w:tmpl w:val="DE1ED830"/>
    <w:lvl w:ilvl="0" w:tplc="3218354E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A0FD2"/>
    <w:multiLevelType w:val="hybridMultilevel"/>
    <w:tmpl w:val="FD22A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3284E"/>
    <w:multiLevelType w:val="hybridMultilevel"/>
    <w:tmpl w:val="D5465746"/>
    <w:lvl w:ilvl="0" w:tplc="8BD6FC5A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64E69"/>
    <w:multiLevelType w:val="hybridMultilevel"/>
    <w:tmpl w:val="CEB6B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63C67"/>
    <w:multiLevelType w:val="hybridMultilevel"/>
    <w:tmpl w:val="FA5A1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F1B94"/>
    <w:multiLevelType w:val="hybridMultilevel"/>
    <w:tmpl w:val="54BE6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20766"/>
    <w:multiLevelType w:val="hybridMultilevel"/>
    <w:tmpl w:val="BC42D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856FC"/>
    <w:multiLevelType w:val="hybridMultilevel"/>
    <w:tmpl w:val="96B87674"/>
    <w:lvl w:ilvl="0" w:tplc="9DF2D346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35F6F"/>
    <w:multiLevelType w:val="hybridMultilevel"/>
    <w:tmpl w:val="F5484C6A"/>
    <w:lvl w:ilvl="0" w:tplc="E2B6F630">
      <w:numFmt w:val="bullet"/>
      <w:lvlText w:val="•"/>
      <w:lvlJc w:val="left"/>
      <w:pPr>
        <w:ind w:left="799" w:hanging="140"/>
      </w:pPr>
      <w:rPr>
        <w:rFonts w:ascii="Arial" w:eastAsia="Arial" w:hAnsi="Arial" w:cs="Arial" w:hint="default"/>
        <w:color w:val="7E7F81"/>
        <w:w w:val="122"/>
        <w:sz w:val="16"/>
        <w:szCs w:val="16"/>
        <w:lang w:val="it-IT" w:eastAsia="it-IT" w:bidi="it-IT"/>
      </w:rPr>
    </w:lvl>
    <w:lvl w:ilvl="1" w:tplc="40B6E984">
      <w:numFmt w:val="bullet"/>
      <w:lvlText w:val="•"/>
      <w:lvlJc w:val="left"/>
      <w:pPr>
        <w:ind w:left="1187" w:hanging="140"/>
      </w:pPr>
      <w:rPr>
        <w:rFonts w:hint="default"/>
        <w:lang w:val="it-IT" w:eastAsia="it-IT" w:bidi="it-IT"/>
      </w:rPr>
    </w:lvl>
    <w:lvl w:ilvl="2" w:tplc="1A1E2FB8">
      <w:numFmt w:val="bullet"/>
      <w:lvlText w:val="•"/>
      <w:lvlJc w:val="left"/>
      <w:pPr>
        <w:ind w:left="1574" w:hanging="140"/>
      </w:pPr>
      <w:rPr>
        <w:rFonts w:hint="default"/>
        <w:lang w:val="it-IT" w:eastAsia="it-IT" w:bidi="it-IT"/>
      </w:rPr>
    </w:lvl>
    <w:lvl w:ilvl="3" w:tplc="F89AE8DC">
      <w:numFmt w:val="bullet"/>
      <w:lvlText w:val="•"/>
      <w:lvlJc w:val="left"/>
      <w:pPr>
        <w:ind w:left="1961" w:hanging="140"/>
      </w:pPr>
      <w:rPr>
        <w:rFonts w:hint="default"/>
        <w:lang w:val="it-IT" w:eastAsia="it-IT" w:bidi="it-IT"/>
      </w:rPr>
    </w:lvl>
    <w:lvl w:ilvl="4" w:tplc="D63EABD2">
      <w:numFmt w:val="bullet"/>
      <w:lvlText w:val="•"/>
      <w:lvlJc w:val="left"/>
      <w:pPr>
        <w:ind w:left="2349" w:hanging="140"/>
      </w:pPr>
      <w:rPr>
        <w:rFonts w:hint="default"/>
        <w:lang w:val="it-IT" w:eastAsia="it-IT" w:bidi="it-IT"/>
      </w:rPr>
    </w:lvl>
    <w:lvl w:ilvl="5" w:tplc="1DD24FBA">
      <w:numFmt w:val="bullet"/>
      <w:lvlText w:val="•"/>
      <w:lvlJc w:val="left"/>
      <w:pPr>
        <w:ind w:left="2736" w:hanging="140"/>
      </w:pPr>
      <w:rPr>
        <w:rFonts w:hint="default"/>
        <w:lang w:val="it-IT" w:eastAsia="it-IT" w:bidi="it-IT"/>
      </w:rPr>
    </w:lvl>
    <w:lvl w:ilvl="6" w:tplc="243C90FA">
      <w:numFmt w:val="bullet"/>
      <w:lvlText w:val="•"/>
      <w:lvlJc w:val="left"/>
      <w:pPr>
        <w:ind w:left="3123" w:hanging="140"/>
      </w:pPr>
      <w:rPr>
        <w:rFonts w:hint="default"/>
        <w:lang w:val="it-IT" w:eastAsia="it-IT" w:bidi="it-IT"/>
      </w:rPr>
    </w:lvl>
    <w:lvl w:ilvl="7" w:tplc="60F05C22">
      <w:numFmt w:val="bullet"/>
      <w:lvlText w:val="•"/>
      <w:lvlJc w:val="left"/>
      <w:pPr>
        <w:ind w:left="3510" w:hanging="140"/>
      </w:pPr>
      <w:rPr>
        <w:rFonts w:hint="default"/>
        <w:lang w:val="it-IT" w:eastAsia="it-IT" w:bidi="it-IT"/>
      </w:rPr>
    </w:lvl>
    <w:lvl w:ilvl="8" w:tplc="D8EA369E">
      <w:numFmt w:val="bullet"/>
      <w:lvlText w:val="•"/>
      <w:lvlJc w:val="left"/>
      <w:pPr>
        <w:ind w:left="3898" w:hanging="140"/>
      </w:pPr>
      <w:rPr>
        <w:rFonts w:hint="default"/>
        <w:lang w:val="it-IT" w:eastAsia="it-IT" w:bidi="it-IT"/>
      </w:rPr>
    </w:lvl>
  </w:abstractNum>
  <w:abstractNum w:abstractNumId="16" w15:restartNumberingAfterBreak="0">
    <w:nsid w:val="51364FCE"/>
    <w:multiLevelType w:val="hybridMultilevel"/>
    <w:tmpl w:val="9C804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133E2"/>
    <w:multiLevelType w:val="hybridMultilevel"/>
    <w:tmpl w:val="9D9022CE"/>
    <w:lvl w:ilvl="0" w:tplc="DBC4777E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80572F8"/>
    <w:multiLevelType w:val="hybridMultilevel"/>
    <w:tmpl w:val="BD9C9E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D19B9"/>
    <w:multiLevelType w:val="hybridMultilevel"/>
    <w:tmpl w:val="1A1AA020"/>
    <w:lvl w:ilvl="0" w:tplc="8BD6FC5A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C5FE4"/>
    <w:multiLevelType w:val="hybridMultilevel"/>
    <w:tmpl w:val="F684E45C"/>
    <w:lvl w:ilvl="0" w:tplc="2A986C7E">
      <w:numFmt w:val="bullet"/>
      <w:lvlText w:val="•"/>
      <w:lvlJc w:val="left"/>
      <w:pPr>
        <w:ind w:left="939" w:hanging="140"/>
      </w:pPr>
      <w:rPr>
        <w:rFonts w:ascii="Arial" w:eastAsia="Arial" w:hAnsi="Arial" w:cs="Arial" w:hint="default"/>
        <w:color w:val="7E7F81"/>
        <w:w w:val="122"/>
        <w:sz w:val="16"/>
        <w:szCs w:val="16"/>
        <w:lang w:val="it-IT" w:eastAsia="it-IT" w:bidi="it-IT"/>
      </w:rPr>
    </w:lvl>
    <w:lvl w:ilvl="1" w:tplc="975078DC">
      <w:numFmt w:val="bullet"/>
      <w:lvlText w:val="•"/>
      <w:lvlJc w:val="left"/>
      <w:pPr>
        <w:ind w:left="1454" w:hanging="140"/>
      </w:pPr>
      <w:rPr>
        <w:rFonts w:hint="default"/>
        <w:lang w:val="it-IT" w:eastAsia="it-IT" w:bidi="it-IT"/>
      </w:rPr>
    </w:lvl>
    <w:lvl w:ilvl="2" w:tplc="1646E296">
      <w:numFmt w:val="bullet"/>
      <w:lvlText w:val="•"/>
      <w:lvlJc w:val="left"/>
      <w:pPr>
        <w:ind w:left="1969" w:hanging="140"/>
      </w:pPr>
      <w:rPr>
        <w:rFonts w:hint="default"/>
        <w:lang w:val="it-IT" w:eastAsia="it-IT" w:bidi="it-IT"/>
      </w:rPr>
    </w:lvl>
    <w:lvl w:ilvl="3" w:tplc="3AA09428">
      <w:numFmt w:val="bullet"/>
      <w:lvlText w:val="•"/>
      <w:lvlJc w:val="left"/>
      <w:pPr>
        <w:ind w:left="2484" w:hanging="140"/>
      </w:pPr>
      <w:rPr>
        <w:rFonts w:hint="default"/>
        <w:lang w:val="it-IT" w:eastAsia="it-IT" w:bidi="it-IT"/>
      </w:rPr>
    </w:lvl>
    <w:lvl w:ilvl="4" w:tplc="4EBE5E54">
      <w:numFmt w:val="bullet"/>
      <w:lvlText w:val="•"/>
      <w:lvlJc w:val="left"/>
      <w:pPr>
        <w:ind w:left="2999" w:hanging="140"/>
      </w:pPr>
      <w:rPr>
        <w:rFonts w:hint="default"/>
        <w:lang w:val="it-IT" w:eastAsia="it-IT" w:bidi="it-IT"/>
      </w:rPr>
    </w:lvl>
    <w:lvl w:ilvl="5" w:tplc="572C9DBA">
      <w:numFmt w:val="bullet"/>
      <w:lvlText w:val="•"/>
      <w:lvlJc w:val="left"/>
      <w:pPr>
        <w:ind w:left="3514" w:hanging="140"/>
      </w:pPr>
      <w:rPr>
        <w:rFonts w:hint="default"/>
        <w:lang w:val="it-IT" w:eastAsia="it-IT" w:bidi="it-IT"/>
      </w:rPr>
    </w:lvl>
    <w:lvl w:ilvl="6" w:tplc="931E5488">
      <w:numFmt w:val="bullet"/>
      <w:lvlText w:val="•"/>
      <w:lvlJc w:val="left"/>
      <w:pPr>
        <w:ind w:left="4029" w:hanging="140"/>
      </w:pPr>
      <w:rPr>
        <w:rFonts w:hint="default"/>
        <w:lang w:val="it-IT" w:eastAsia="it-IT" w:bidi="it-IT"/>
      </w:rPr>
    </w:lvl>
    <w:lvl w:ilvl="7" w:tplc="4252AEA2">
      <w:numFmt w:val="bullet"/>
      <w:lvlText w:val="•"/>
      <w:lvlJc w:val="left"/>
      <w:pPr>
        <w:ind w:left="4544" w:hanging="140"/>
      </w:pPr>
      <w:rPr>
        <w:rFonts w:hint="default"/>
        <w:lang w:val="it-IT" w:eastAsia="it-IT" w:bidi="it-IT"/>
      </w:rPr>
    </w:lvl>
    <w:lvl w:ilvl="8" w:tplc="2A5EC66A">
      <w:numFmt w:val="bullet"/>
      <w:lvlText w:val="•"/>
      <w:lvlJc w:val="left"/>
      <w:pPr>
        <w:ind w:left="5059" w:hanging="140"/>
      </w:pPr>
      <w:rPr>
        <w:rFonts w:hint="default"/>
        <w:lang w:val="it-IT" w:eastAsia="it-IT" w:bidi="it-IT"/>
      </w:rPr>
    </w:lvl>
  </w:abstractNum>
  <w:abstractNum w:abstractNumId="21" w15:restartNumberingAfterBreak="0">
    <w:nsid w:val="6A4C3667"/>
    <w:multiLevelType w:val="hybridMultilevel"/>
    <w:tmpl w:val="A4446D78"/>
    <w:lvl w:ilvl="0" w:tplc="8BD6FC5A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2" w15:restartNumberingAfterBreak="0">
    <w:nsid w:val="6ACD0A30"/>
    <w:multiLevelType w:val="hybridMultilevel"/>
    <w:tmpl w:val="0E7C1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73239"/>
    <w:multiLevelType w:val="hybridMultilevel"/>
    <w:tmpl w:val="01FA4F3A"/>
    <w:lvl w:ilvl="0" w:tplc="9DF2D346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C5AE5"/>
    <w:multiLevelType w:val="hybridMultilevel"/>
    <w:tmpl w:val="64B04DE6"/>
    <w:lvl w:ilvl="0" w:tplc="9DF2D346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B59E4"/>
    <w:multiLevelType w:val="hybridMultilevel"/>
    <w:tmpl w:val="A0A0CBB2"/>
    <w:lvl w:ilvl="0" w:tplc="10A61578">
      <w:start w:val="1"/>
      <w:numFmt w:val="decimal"/>
      <w:lvlText w:val="%1."/>
      <w:lvlJc w:val="left"/>
      <w:pPr>
        <w:ind w:left="291" w:hanging="145"/>
        <w:jc w:val="left"/>
      </w:pPr>
      <w:rPr>
        <w:rFonts w:ascii="Arial" w:eastAsia="Arial" w:hAnsi="Arial" w:cs="Arial" w:hint="default"/>
        <w:color w:val="676767"/>
        <w:spacing w:val="-3"/>
        <w:w w:val="71"/>
        <w:sz w:val="17"/>
        <w:szCs w:val="17"/>
      </w:rPr>
    </w:lvl>
    <w:lvl w:ilvl="1" w:tplc="0C6E4AEA">
      <w:numFmt w:val="bullet"/>
      <w:lvlText w:val="•"/>
      <w:lvlJc w:val="left"/>
      <w:pPr>
        <w:ind w:left="1025" w:hanging="145"/>
      </w:pPr>
      <w:rPr>
        <w:rFonts w:hint="default"/>
      </w:rPr>
    </w:lvl>
    <w:lvl w:ilvl="2" w:tplc="80723E40">
      <w:numFmt w:val="bullet"/>
      <w:lvlText w:val="•"/>
      <w:lvlJc w:val="left"/>
      <w:pPr>
        <w:ind w:left="1751" w:hanging="145"/>
      </w:pPr>
      <w:rPr>
        <w:rFonts w:hint="default"/>
      </w:rPr>
    </w:lvl>
    <w:lvl w:ilvl="3" w:tplc="96DE6BF6">
      <w:numFmt w:val="bullet"/>
      <w:lvlText w:val="•"/>
      <w:lvlJc w:val="left"/>
      <w:pPr>
        <w:ind w:left="2477" w:hanging="145"/>
      </w:pPr>
      <w:rPr>
        <w:rFonts w:hint="default"/>
      </w:rPr>
    </w:lvl>
    <w:lvl w:ilvl="4" w:tplc="167E499E">
      <w:numFmt w:val="bullet"/>
      <w:lvlText w:val="•"/>
      <w:lvlJc w:val="left"/>
      <w:pPr>
        <w:ind w:left="3203" w:hanging="145"/>
      </w:pPr>
      <w:rPr>
        <w:rFonts w:hint="default"/>
      </w:rPr>
    </w:lvl>
    <w:lvl w:ilvl="5" w:tplc="BF860EB0">
      <w:numFmt w:val="bullet"/>
      <w:lvlText w:val="•"/>
      <w:lvlJc w:val="left"/>
      <w:pPr>
        <w:ind w:left="3929" w:hanging="145"/>
      </w:pPr>
      <w:rPr>
        <w:rFonts w:hint="default"/>
      </w:rPr>
    </w:lvl>
    <w:lvl w:ilvl="6" w:tplc="D7D8FCC6">
      <w:numFmt w:val="bullet"/>
      <w:lvlText w:val="•"/>
      <w:lvlJc w:val="left"/>
      <w:pPr>
        <w:ind w:left="4655" w:hanging="145"/>
      </w:pPr>
      <w:rPr>
        <w:rFonts w:hint="default"/>
      </w:rPr>
    </w:lvl>
    <w:lvl w:ilvl="7" w:tplc="05304FB0">
      <w:numFmt w:val="bullet"/>
      <w:lvlText w:val="•"/>
      <w:lvlJc w:val="left"/>
      <w:pPr>
        <w:ind w:left="5381" w:hanging="145"/>
      </w:pPr>
      <w:rPr>
        <w:rFonts w:hint="default"/>
      </w:rPr>
    </w:lvl>
    <w:lvl w:ilvl="8" w:tplc="98706CB0">
      <w:numFmt w:val="bullet"/>
      <w:lvlText w:val="•"/>
      <w:lvlJc w:val="left"/>
      <w:pPr>
        <w:ind w:left="6107" w:hanging="145"/>
      </w:pPr>
      <w:rPr>
        <w:rFonts w:hint="default"/>
      </w:rPr>
    </w:lvl>
  </w:abstractNum>
  <w:abstractNum w:abstractNumId="26" w15:restartNumberingAfterBreak="0">
    <w:nsid w:val="7E6A033E"/>
    <w:multiLevelType w:val="hybridMultilevel"/>
    <w:tmpl w:val="421CA130"/>
    <w:lvl w:ilvl="0" w:tplc="9DF2D346">
      <w:start w:val="1"/>
      <w:numFmt w:val="bullet"/>
      <w:lvlText w:val=""/>
      <w:lvlJc w:val="left"/>
      <w:pPr>
        <w:ind w:left="543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7" w15:restartNumberingAfterBreak="0">
    <w:nsid w:val="7F3F56ED"/>
    <w:multiLevelType w:val="hybridMultilevel"/>
    <w:tmpl w:val="277AD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2"/>
  </w:num>
  <w:num w:numId="5">
    <w:abstractNumId w:val="6"/>
  </w:num>
  <w:num w:numId="6">
    <w:abstractNumId w:val="27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16"/>
  </w:num>
  <w:num w:numId="12">
    <w:abstractNumId w:val="20"/>
  </w:num>
  <w:num w:numId="13">
    <w:abstractNumId w:val="15"/>
  </w:num>
  <w:num w:numId="14">
    <w:abstractNumId w:val="18"/>
  </w:num>
  <w:num w:numId="15">
    <w:abstractNumId w:val="22"/>
  </w:num>
  <w:num w:numId="16">
    <w:abstractNumId w:val="13"/>
  </w:num>
  <w:num w:numId="17">
    <w:abstractNumId w:val="17"/>
  </w:num>
  <w:num w:numId="18">
    <w:abstractNumId w:val="8"/>
  </w:num>
  <w:num w:numId="19">
    <w:abstractNumId w:val="7"/>
  </w:num>
  <w:num w:numId="20">
    <w:abstractNumId w:val="24"/>
  </w:num>
  <w:num w:numId="21">
    <w:abstractNumId w:val="23"/>
  </w:num>
  <w:num w:numId="22">
    <w:abstractNumId w:val="14"/>
  </w:num>
  <w:num w:numId="23">
    <w:abstractNumId w:val="25"/>
  </w:num>
  <w:num w:numId="24">
    <w:abstractNumId w:val="2"/>
  </w:num>
  <w:num w:numId="25">
    <w:abstractNumId w:val="26"/>
  </w:num>
  <w:num w:numId="26">
    <w:abstractNumId w:val="21"/>
  </w:num>
  <w:num w:numId="27">
    <w:abstractNumId w:val="1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9B"/>
    <w:rsid w:val="00012F15"/>
    <w:rsid w:val="0001731B"/>
    <w:rsid w:val="00044F54"/>
    <w:rsid w:val="00080A15"/>
    <w:rsid w:val="000A5A12"/>
    <w:rsid w:val="000F75D6"/>
    <w:rsid w:val="001250D0"/>
    <w:rsid w:val="00125BBD"/>
    <w:rsid w:val="00127399"/>
    <w:rsid w:val="00136885"/>
    <w:rsid w:val="00140F45"/>
    <w:rsid w:val="001516D8"/>
    <w:rsid w:val="001632C8"/>
    <w:rsid w:val="00171CD1"/>
    <w:rsid w:val="001B7B2B"/>
    <w:rsid w:val="001C08DC"/>
    <w:rsid w:val="001F7EE3"/>
    <w:rsid w:val="00206A1B"/>
    <w:rsid w:val="00234FAB"/>
    <w:rsid w:val="002400AC"/>
    <w:rsid w:val="00260E4C"/>
    <w:rsid w:val="00267BF5"/>
    <w:rsid w:val="002B0492"/>
    <w:rsid w:val="002C392E"/>
    <w:rsid w:val="00332CC8"/>
    <w:rsid w:val="00334F09"/>
    <w:rsid w:val="0038072F"/>
    <w:rsid w:val="0038187B"/>
    <w:rsid w:val="0039084C"/>
    <w:rsid w:val="003A11D0"/>
    <w:rsid w:val="003B3040"/>
    <w:rsid w:val="003C2530"/>
    <w:rsid w:val="003C2AA6"/>
    <w:rsid w:val="003D649F"/>
    <w:rsid w:val="003F37C2"/>
    <w:rsid w:val="003F5448"/>
    <w:rsid w:val="00464E17"/>
    <w:rsid w:val="004A7CE8"/>
    <w:rsid w:val="004C2484"/>
    <w:rsid w:val="004C30EF"/>
    <w:rsid w:val="004C3345"/>
    <w:rsid w:val="004D6578"/>
    <w:rsid w:val="005019D8"/>
    <w:rsid w:val="0050204B"/>
    <w:rsid w:val="00530B37"/>
    <w:rsid w:val="005458C5"/>
    <w:rsid w:val="005812A6"/>
    <w:rsid w:val="0061399B"/>
    <w:rsid w:val="00632387"/>
    <w:rsid w:val="006420EA"/>
    <w:rsid w:val="00650CAB"/>
    <w:rsid w:val="00667D7C"/>
    <w:rsid w:val="006D77A7"/>
    <w:rsid w:val="006D79B3"/>
    <w:rsid w:val="006E073E"/>
    <w:rsid w:val="00732407"/>
    <w:rsid w:val="00781B94"/>
    <w:rsid w:val="00786649"/>
    <w:rsid w:val="007A0AD8"/>
    <w:rsid w:val="007A6756"/>
    <w:rsid w:val="007C2AB3"/>
    <w:rsid w:val="007E096A"/>
    <w:rsid w:val="00807909"/>
    <w:rsid w:val="0087425C"/>
    <w:rsid w:val="0089126B"/>
    <w:rsid w:val="008C078B"/>
    <w:rsid w:val="008C13AD"/>
    <w:rsid w:val="009158A5"/>
    <w:rsid w:val="0092087D"/>
    <w:rsid w:val="00933D20"/>
    <w:rsid w:val="009A1C43"/>
    <w:rsid w:val="009A4C7E"/>
    <w:rsid w:val="009C0D7B"/>
    <w:rsid w:val="009C5233"/>
    <w:rsid w:val="009E5442"/>
    <w:rsid w:val="009E618A"/>
    <w:rsid w:val="009F3986"/>
    <w:rsid w:val="009F470F"/>
    <w:rsid w:val="00A05DD9"/>
    <w:rsid w:val="00A156AC"/>
    <w:rsid w:val="00A42B53"/>
    <w:rsid w:val="00A96D39"/>
    <w:rsid w:val="00AB1A12"/>
    <w:rsid w:val="00AB6389"/>
    <w:rsid w:val="00AC39D8"/>
    <w:rsid w:val="00AC3A47"/>
    <w:rsid w:val="00AC5CC0"/>
    <w:rsid w:val="00AF0B5A"/>
    <w:rsid w:val="00B0450E"/>
    <w:rsid w:val="00B22672"/>
    <w:rsid w:val="00B57B63"/>
    <w:rsid w:val="00B7253B"/>
    <w:rsid w:val="00BB7050"/>
    <w:rsid w:val="00BF0E76"/>
    <w:rsid w:val="00C05F6F"/>
    <w:rsid w:val="00C13A4B"/>
    <w:rsid w:val="00C33B38"/>
    <w:rsid w:val="00C44288"/>
    <w:rsid w:val="00C47CB0"/>
    <w:rsid w:val="00C657D9"/>
    <w:rsid w:val="00C708C2"/>
    <w:rsid w:val="00C7384A"/>
    <w:rsid w:val="00C76FFF"/>
    <w:rsid w:val="00CB66DE"/>
    <w:rsid w:val="00CC1A19"/>
    <w:rsid w:val="00CC6CBC"/>
    <w:rsid w:val="00CD78A4"/>
    <w:rsid w:val="00D0321B"/>
    <w:rsid w:val="00D07DD5"/>
    <w:rsid w:val="00D10651"/>
    <w:rsid w:val="00D25C50"/>
    <w:rsid w:val="00D52604"/>
    <w:rsid w:val="00D65231"/>
    <w:rsid w:val="00DB7E6D"/>
    <w:rsid w:val="00DF29D1"/>
    <w:rsid w:val="00E014FB"/>
    <w:rsid w:val="00E334D5"/>
    <w:rsid w:val="00E33B32"/>
    <w:rsid w:val="00E6089C"/>
    <w:rsid w:val="00E63CBF"/>
    <w:rsid w:val="00E74FEF"/>
    <w:rsid w:val="00EA2805"/>
    <w:rsid w:val="00EB0306"/>
    <w:rsid w:val="00EB0C26"/>
    <w:rsid w:val="00EB6D19"/>
    <w:rsid w:val="00EF1251"/>
    <w:rsid w:val="00F27C0A"/>
    <w:rsid w:val="00F55D19"/>
    <w:rsid w:val="00F81DC3"/>
    <w:rsid w:val="00F8481B"/>
    <w:rsid w:val="00F92BFA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849C5"/>
  <w15:chartTrackingRefBased/>
  <w15:docId w15:val="{A25817FE-4AE2-43B7-B03D-FE048CEA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99B"/>
  </w:style>
  <w:style w:type="paragraph" w:styleId="Nadpis1">
    <w:name w:val="heading 1"/>
    <w:basedOn w:val="Normln"/>
    <w:next w:val="Normln"/>
    <w:link w:val="Nadpis1Char"/>
    <w:uiPriority w:val="9"/>
    <w:qFormat/>
    <w:rsid w:val="00017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4FEF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color w:val="000000" w:themeColor="text1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2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4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731B"/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paragraph" w:styleId="Odstavecseseznamem">
    <w:name w:val="List Paragraph"/>
    <w:basedOn w:val="Normln"/>
    <w:uiPriority w:val="1"/>
    <w:qFormat/>
    <w:rsid w:val="0061399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74FEF"/>
    <w:rPr>
      <w:rFonts w:asciiTheme="majorHAnsi" w:eastAsiaTheme="majorEastAsia" w:hAnsiTheme="majorHAnsi" w:cstheme="majorBidi"/>
      <w:color w:val="000000" w:themeColor="text1"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20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CA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B70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BB70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t-IT" w:eastAsia="it-IT" w:bidi="it-IT"/>
    </w:rPr>
  </w:style>
  <w:style w:type="table" w:styleId="Mkatabulky">
    <w:name w:val="Table Grid"/>
    <w:basedOn w:val="Normlntabulka"/>
    <w:uiPriority w:val="39"/>
    <w:rsid w:val="00AC5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38187B"/>
    <w:pPr>
      <w:outlineLvl w:val="9"/>
    </w:pPr>
    <w:rPr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8187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38187B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38187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C2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2530"/>
  </w:style>
  <w:style w:type="paragraph" w:styleId="Zpat">
    <w:name w:val="footer"/>
    <w:basedOn w:val="Normln"/>
    <w:link w:val="ZpatChar"/>
    <w:uiPriority w:val="99"/>
    <w:unhideWhenUsed/>
    <w:rsid w:val="003C2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530"/>
  </w:style>
  <w:style w:type="character" w:styleId="Zdraznn">
    <w:name w:val="Emphasis"/>
    <w:basedOn w:val="Standardnpsmoodstavce"/>
    <w:uiPriority w:val="20"/>
    <w:qFormat/>
    <w:rsid w:val="003C2AA6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4FE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kladntext">
    <w:name w:val="Body Text"/>
    <w:basedOn w:val="Normln"/>
    <w:link w:val="ZkladntextChar"/>
    <w:uiPriority w:val="1"/>
    <w:qFormat/>
    <w:rsid w:val="00E74F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74FEF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3F256-C5C7-4107-B012-F3763FE5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1884</Words>
  <Characters>11122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Vanžurová</dc:creator>
  <cp:keywords/>
  <dc:description/>
  <cp:lastModifiedBy>Michaela Králová</cp:lastModifiedBy>
  <cp:revision>2</cp:revision>
  <cp:lastPrinted>2019-02-18T10:11:00Z</cp:lastPrinted>
  <dcterms:created xsi:type="dcterms:W3CDTF">2022-03-18T13:39:00Z</dcterms:created>
  <dcterms:modified xsi:type="dcterms:W3CDTF">2022-03-18T13:39:00Z</dcterms:modified>
</cp:coreProperties>
</file>